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805" w:rsidRPr="00D243DB" w:rsidRDefault="00DB3805" w:rsidP="00D939F9">
      <w:pPr>
        <w:jc w:val="center"/>
      </w:pPr>
      <w:r w:rsidRPr="00D243DB">
        <w:t>Supplementary Information for</w:t>
      </w:r>
    </w:p>
    <w:p w:rsidR="00DB3805" w:rsidRPr="00D243DB" w:rsidRDefault="00DB3805" w:rsidP="00D939F9">
      <w:pPr>
        <w:jc w:val="center"/>
      </w:pPr>
    </w:p>
    <w:p w:rsidR="00DB3805" w:rsidRPr="00D243DB" w:rsidRDefault="00DB3805" w:rsidP="00FE2DD2">
      <w:pPr>
        <w:jc w:val="center"/>
        <w:rPr>
          <w:b/>
          <w:bCs/>
          <w:sz w:val="28"/>
          <w:szCs w:val="28"/>
        </w:rPr>
      </w:pPr>
      <w:r w:rsidRPr="00D243DB">
        <w:rPr>
          <w:b/>
          <w:bCs/>
          <w:sz w:val="28"/>
          <w:szCs w:val="28"/>
        </w:rPr>
        <w:t xml:space="preserve">Energy Breakdown in Capacitive </w:t>
      </w:r>
      <w:r w:rsidR="00FE2DD2" w:rsidRPr="00D243DB">
        <w:rPr>
          <w:b/>
          <w:bCs/>
          <w:color w:val="000000" w:themeColor="text1"/>
          <w:sz w:val="28"/>
          <w:szCs w:val="28"/>
        </w:rPr>
        <w:t>Deionization</w:t>
      </w:r>
    </w:p>
    <w:p w:rsidR="00D939F9" w:rsidRPr="00D243DB" w:rsidRDefault="00D939F9" w:rsidP="00D939F9">
      <w:pPr>
        <w:jc w:val="center"/>
        <w:rPr>
          <w:b/>
          <w:bCs/>
        </w:rPr>
      </w:pPr>
    </w:p>
    <w:p w:rsidR="00DB3805" w:rsidRPr="00D243DB" w:rsidRDefault="00473DA7" w:rsidP="00473DA7">
      <w:pPr>
        <w:jc w:val="center"/>
        <w:rPr>
          <w:rFonts w:cstheme="majorBidi"/>
          <w:vertAlign w:val="superscript"/>
        </w:rPr>
      </w:pPr>
      <w:r>
        <w:t>Ali Hemmatifar</w:t>
      </w:r>
      <w:r w:rsidRPr="00473DA7">
        <w:rPr>
          <w:sz w:val="12"/>
          <w:szCs w:val="12"/>
        </w:rPr>
        <w:t xml:space="preserve"> </w:t>
      </w:r>
      <w:r w:rsidR="00DB3805" w:rsidRPr="00D243DB">
        <w:rPr>
          <w:rFonts w:cstheme="majorBidi"/>
          <w:vertAlign w:val="superscript"/>
        </w:rPr>
        <w:t>a</w:t>
      </w:r>
      <w:r>
        <w:t>, James W. Palko</w:t>
      </w:r>
      <w:r w:rsidRPr="00473DA7">
        <w:rPr>
          <w:sz w:val="12"/>
          <w:szCs w:val="12"/>
        </w:rPr>
        <w:t xml:space="preserve"> </w:t>
      </w:r>
      <w:r w:rsidR="00DB3805" w:rsidRPr="00D243DB">
        <w:rPr>
          <w:rFonts w:cstheme="majorBidi"/>
          <w:vertAlign w:val="superscript"/>
        </w:rPr>
        <w:t>a</w:t>
      </w:r>
      <w:r>
        <w:t>, Michael Stadermann</w:t>
      </w:r>
      <w:r w:rsidRPr="00473DA7">
        <w:rPr>
          <w:sz w:val="12"/>
          <w:szCs w:val="12"/>
        </w:rPr>
        <w:t xml:space="preserve"> </w:t>
      </w:r>
      <w:proofErr w:type="gramStart"/>
      <w:r w:rsidR="00DB3805" w:rsidRPr="00D243DB">
        <w:rPr>
          <w:rFonts w:cstheme="majorBidi"/>
          <w:vertAlign w:val="superscript"/>
        </w:rPr>
        <w:t>b</w:t>
      </w:r>
      <w:r w:rsidR="00DB3805" w:rsidRPr="00D243DB">
        <w:t xml:space="preserve"> </w:t>
      </w:r>
      <w:r>
        <w:t>,</w:t>
      </w:r>
      <w:proofErr w:type="gramEnd"/>
      <w:r>
        <w:t xml:space="preserve"> </w:t>
      </w:r>
      <w:r w:rsidR="00DB3805" w:rsidRPr="00D243DB">
        <w:t>Juan G. Santiago</w:t>
      </w:r>
      <w:r w:rsidR="00DB3805" w:rsidRPr="00D243DB">
        <w:rPr>
          <w:rFonts w:cstheme="majorBidi"/>
          <w:vertAlign w:val="superscript"/>
        </w:rPr>
        <w:t xml:space="preserve"> a,</w:t>
      </w:r>
      <w:r w:rsidR="001B231E" w:rsidRPr="00774E7C">
        <w:rPr>
          <w:rStyle w:val="FootnoteReference"/>
          <w:vertAlign w:val="baseline"/>
        </w:rPr>
        <w:footnoteReference w:id="1"/>
      </w:r>
    </w:p>
    <w:p w:rsidR="000A6180" w:rsidRPr="00D243DB" w:rsidRDefault="000A6180" w:rsidP="00D939F9">
      <w:pPr>
        <w:jc w:val="center"/>
      </w:pPr>
    </w:p>
    <w:p w:rsidR="00DB3805" w:rsidRPr="00D243DB" w:rsidRDefault="00DB3805" w:rsidP="008E4DE5">
      <w:pPr>
        <w:jc w:val="center"/>
        <w:rPr>
          <w:sz w:val="22"/>
          <w:szCs w:val="22"/>
        </w:rPr>
      </w:pPr>
      <w:r w:rsidRPr="00D243DB">
        <w:rPr>
          <w:rFonts w:cstheme="majorBidi"/>
          <w:sz w:val="22"/>
          <w:szCs w:val="22"/>
          <w:vertAlign w:val="superscript"/>
        </w:rPr>
        <w:t xml:space="preserve">a </w:t>
      </w:r>
      <w:r w:rsidRPr="00D243DB">
        <w:rPr>
          <w:sz w:val="22"/>
          <w:szCs w:val="22"/>
        </w:rPr>
        <w:t>Department of Mechanical Engineering, Stanford University, Stanford, California 94305, United States</w:t>
      </w:r>
    </w:p>
    <w:p w:rsidR="00DB3805" w:rsidRPr="00D243DB" w:rsidRDefault="00DB3805" w:rsidP="008E4DE5">
      <w:pPr>
        <w:jc w:val="center"/>
        <w:rPr>
          <w:sz w:val="22"/>
          <w:szCs w:val="22"/>
        </w:rPr>
      </w:pPr>
      <w:r w:rsidRPr="00D243DB">
        <w:rPr>
          <w:rFonts w:cstheme="majorBidi"/>
          <w:sz w:val="22"/>
          <w:szCs w:val="22"/>
          <w:vertAlign w:val="superscript"/>
        </w:rPr>
        <w:t xml:space="preserve">b </w:t>
      </w:r>
      <w:r w:rsidRPr="00D243DB">
        <w:rPr>
          <w:sz w:val="22"/>
          <w:szCs w:val="22"/>
        </w:rPr>
        <w:t>Lawrence Livermore National Laboratory, 7000 East Avenue, Livermore, California 94550, United States</w:t>
      </w:r>
    </w:p>
    <w:p w:rsidR="00DB3805" w:rsidRPr="00D243DB" w:rsidRDefault="00DB3805" w:rsidP="00D939F9"/>
    <w:p w:rsidR="001B231E" w:rsidRPr="00D243DB" w:rsidRDefault="001B231E" w:rsidP="00D939F9"/>
    <w:p w:rsidR="001B231E" w:rsidRPr="00D243DB" w:rsidRDefault="001B231E" w:rsidP="00D939F9"/>
    <w:p w:rsidR="001B231E" w:rsidRPr="00D243DB" w:rsidRDefault="001B231E" w:rsidP="00D939F9"/>
    <w:p w:rsidR="00DB3805" w:rsidRPr="00D243DB" w:rsidRDefault="00DB3805" w:rsidP="00D939F9">
      <w:r w:rsidRPr="00D243DB">
        <w:t>This document contains Supplementary Information and figures describing complete set of experimental data and further discussion on energetic performance of our flow-between CDI (</w:t>
      </w:r>
      <w:proofErr w:type="spellStart"/>
      <w:r w:rsidRPr="00D243DB">
        <w:t>fbCDI</w:t>
      </w:r>
      <w:proofErr w:type="spellEnd"/>
      <w:r w:rsidRPr="00D243DB">
        <w:t xml:space="preserve">) cell.  </w:t>
      </w:r>
    </w:p>
    <w:p w:rsidR="00DB3805" w:rsidRPr="00D243DB" w:rsidRDefault="00DB3805" w:rsidP="00D939F9"/>
    <w:p w:rsidR="00DB3805" w:rsidRPr="00D243DB" w:rsidRDefault="00DB3805" w:rsidP="00D939F9"/>
    <w:p w:rsidR="00D44BC7" w:rsidRPr="00D243DB" w:rsidRDefault="00D44BC7" w:rsidP="00D939F9"/>
    <w:p w:rsidR="00D44BC7" w:rsidRPr="00D243DB" w:rsidRDefault="00D44BC7" w:rsidP="00D939F9"/>
    <w:p w:rsidR="00DB3805" w:rsidRPr="00D243DB" w:rsidRDefault="00DB3805" w:rsidP="00D567F4">
      <w:pPr>
        <w:rPr>
          <w:b/>
          <w:bCs/>
        </w:rPr>
      </w:pPr>
      <w:r w:rsidRPr="00D243DB">
        <w:rPr>
          <w:b/>
          <w:bCs/>
        </w:rPr>
        <w:t>Contents</w:t>
      </w:r>
    </w:p>
    <w:sdt>
      <w:sdtPr>
        <w:rPr>
          <w:rFonts w:asciiTheme="majorBidi" w:eastAsiaTheme="minorHAnsi" w:hAnsiTheme="majorBidi" w:cstheme="minorBidi"/>
          <w:color w:val="auto"/>
          <w:sz w:val="24"/>
          <w:szCs w:val="24"/>
        </w:rPr>
        <w:id w:val="-286049112"/>
        <w:docPartObj>
          <w:docPartGallery w:val="Table of Contents"/>
          <w:docPartUnique/>
        </w:docPartObj>
      </w:sdtPr>
      <w:sdtEndPr>
        <w:rPr>
          <w:b/>
          <w:bCs/>
          <w:noProof/>
        </w:rPr>
      </w:sdtEndPr>
      <w:sdtContent>
        <w:p w:rsidR="00D567F4" w:rsidRPr="00D243DB" w:rsidRDefault="00D567F4" w:rsidP="00671070">
          <w:pPr>
            <w:pStyle w:val="TOCHeading"/>
            <w:numPr>
              <w:ilvl w:val="0"/>
              <w:numId w:val="0"/>
            </w:numPr>
            <w:rPr>
              <w:sz w:val="2"/>
              <w:szCs w:val="2"/>
            </w:rPr>
          </w:pPr>
        </w:p>
        <w:p w:rsidR="00AE58A7" w:rsidRPr="00D243DB" w:rsidRDefault="00D567F4">
          <w:pPr>
            <w:pStyle w:val="TOC1"/>
            <w:tabs>
              <w:tab w:val="left" w:pos="660"/>
              <w:tab w:val="right" w:leader="dot" w:pos="10070"/>
            </w:tabs>
            <w:rPr>
              <w:rFonts w:asciiTheme="minorHAnsi" w:eastAsiaTheme="minorEastAsia" w:hAnsiTheme="minorHAnsi"/>
              <w:noProof/>
              <w:sz w:val="22"/>
              <w:szCs w:val="22"/>
              <w:lang w:bidi="ar-SA"/>
            </w:rPr>
          </w:pPr>
          <w:r w:rsidRPr="00D243DB">
            <w:fldChar w:fldCharType="begin"/>
          </w:r>
          <w:r w:rsidRPr="00D243DB">
            <w:instrText xml:space="preserve"> TOC \o "1-3" \h \z \u </w:instrText>
          </w:r>
          <w:r w:rsidRPr="00D243DB">
            <w:fldChar w:fldCharType="separate"/>
          </w:r>
          <w:hyperlink w:anchor="_Toc451882936" w:history="1">
            <w:r w:rsidR="00AE58A7" w:rsidRPr="00D243DB">
              <w:rPr>
                <w:rStyle w:val="Hyperlink"/>
                <w:noProof/>
              </w:rPr>
              <w:t>S.1.</w:t>
            </w:r>
            <w:r w:rsidR="00AE58A7" w:rsidRPr="00D243DB">
              <w:rPr>
                <w:rFonts w:asciiTheme="minorHAnsi" w:eastAsiaTheme="minorEastAsia" w:hAnsiTheme="minorHAnsi"/>
                <w:noProof/>
                <w:sz w:val="22"/>
                <w:szCs w:val="22"/>
                <w:lang w:bidi="ar-SA"/>
              </w:rPr>
              <w:tab/>
            </w:r>
            <w:r w:rsidR="00AE58A7" w:rsidRPr="00D243DB">
              <w:rPr>
                <w:rStyle w:val="Hyperlink"/>
                <w:noProof/>
              </w:rPr>
              <w:t>Voltage profile under constant current conditions</w:t>
            </w:r>
            <w:r w:rsidR="00AE58A7" w:rsidRPr="00D243DB">
              <w:rPr>
                <w:noProof/>
                <w:webHidden/>
              </w:rPr>
              <w:tab/>
            </w:r>
            <w:r w:rsidR="00AE58A7" w:rsidRPr="00D243DB">
              <w:rPr>
                <w:noProof/>
                <w:webHidden/>
              </w:rPr>
              <w:fldChar w:fldCharType="begin"/>
            </w:r>
            <w:r w:rsidR="00AE58A7" w:rsidRPr="00D243DB">
              <w:rPr>
                <w:noProof/>
                <w:webHidden/>
              </w:rPr>
              <w:instrText xml:space="preserve"> PAGEREF _Toc451882936 \h </w:instrText>
            </w:r>
            <w:r w:rsidR="00AE58A7" w:rsidRPr="00D243DB">
              <w:rPr>
                <w:noProof/>
                <w:webHidden/>
              </w:rPr>
            </w:r>
            <w:r w:rsidR="00AE58A7" w:rsidRPr="00D243DB">
              <w:rPr>
                <w:noProof/>
                <w:webHidden/>
              </w:rPr>
              <w:fldChar w:fldCharType="separate"/>
            </w:r>
            <w:r w:rsidR="00EE69C1" w:rsidRPr="00D243DB">
              <w:rPr>
                <w:noProof/>
                <w:webHidden/>
              </w:rPr>
              <w:t>2</w:t>
            </w:r>
            <w:r w:rsidR="00AE58A7" w:rsidRPr="00D243DB">
              <w:rPr>
                <w:noProof/>
                <w:webHidden/>
              </w:rPr>
              <w:fldChar w:fldCharType="end"/>
            </w:r>
          </w:hyperlink>
        </w:p>
        <w:p w:rsidR="00AE58A7" w:rsidRPr="00D243DB" w:rsidRDefault="0019698D">
          <w:pPr>
            <w:pStyle w:val="TOC1"/>
            <w:tabs>
              <w:tab w:val="left" w:pos="660"/>
              <w:tab w:val="right" w:leader="dot" w:pos="10070"/>
            </w:tabs>
            <w:rPr>
              <w:rFonts w:asciiTheme="minorHAnsi" w:eastAsiaTheme="minorEastAsia" w:hAnsiTheme="minorHAnsi"/>
              <w:noProof/>
              <w:sz w:val="22"/>
              <w:szCs w:val="22"/>
              <w:lang w:bidi="ar-SA"/>
            </w:rPr>
          </w:pPr>
          <w:hyperlink w:anchor="_Toc451882937" w:history="1">
            <w:r w:rsidR="00AE58A7" w:rsidRPr="00D243DB">
              <w:rPr>
                <w:rStyle w:val="Hyperlink"/>
                <w:noProof/>
              </w:rPr>
              <w:t>S.2.</w:t>
            </w:r>
            <w:r w:rsidR="00AE58A7" w:rsidRPr="00D243DB">
              <w:rPr>
                <w:rFonts w:asciiTheme="minorHAnsi" w:eastAsiaTheme="minorEastAsia" w:hAnsiTheme="minorHAnsi"/>
                <w:noProof/>
                <w:sz w:val="22"/>
                <w:szCs w:val="22"/>
                <w:lang w:bidi="ar-SA"/>
              </w:rPr>
              <w:tab/>
            </w:r>
            <w:r w:rsidR="00AE58A7" w:rsidRPr="00D243DB">
              <w:rPr>
                <w:rStyle w:val="Hyperlink"/>
                <w:noProof/>
              </w:rPr>
              <w:t>Effluent concentration measurement</w:t>
            </w:r>
            <w:r w:rsidR="00AE58A7" w:rsidRPr="00D243DB">
              <w:rPr>
                <w:noProof/>
                <w:webHidden/>
              </w:rPr>
              <w:tab/>
            </w:r>
            <w:r w:rsidR="00AE58A7" w:rsidRPr="00D243DB">
              <w:rPr>
                <w:noProof/>
                <w:webHidden/>
              </w:rPr>
              <w:fldChar w:fldCharType="begin"/>
            </w:r>
            <w:r w:rsidR="00AE58A7" w:rsidRPr="00D243DB">
              <w:rPr>
                <w:noProof/>
                <w:webHidden/>
              </w:rPr>
              <w:instrText xml:space="preserve"> PAGEREF _Toc451882937 \h </w:instrText>
            </w:r>
            <w:r w:rsidR="00AE58A7" w:rsidRPr="00D243DB">
              <w:rPr>
                <w:noProof/>
                <w:webHidden/>
              </w:rPr>
            </w:r>
            <w:r w:rsidR="00AE58A7" w:rsidRPr="00D243DB">
              <w:rPr>
                <w:noProof/>
                <w:webHidden/>
              </w:rPr>
              <w:fldChar w:fldCharType="separate"/>
            </w:r>
            <w:r w:rsidR="00EE69C1" w:rsidRPr="00D243DB">
              <w:rPr>
                <w:noProof/>
                <w:webHidden/>
              </w:rPr>
              <w:t>3</w:t>
            </w:r>
            <w:r w:rsidR="00AE58A7" w:rsidRPr="00D243DB">
              <w:rPr>
                <w:noProof/>
                <w:webHidden/>
              </w:rPr>
              <w:fldChar w:fldCharType="end"/>
            </w:r>
          </w:hyperlink>
        </w:p>
        <w:p w:rsidR="00AE58A7" w:rsidRPr="00D243DB" w:rsidRDefault="0019698D" w:rsidP="00F86F2A">
          <w:pPr>
            <w:pStyle w:val="TOC1"/>
            <w:tabs>
              <w:tab w:val="left" w:pos="660"/>
              <w:tab w:val="right" w:leader="dot" w:pos="10070"/>
            </w:tabs>
            <w:rPr>
              <w:rFonts w:asciiTheme="minorHAnsi" w:eastAsiaTheme="minorEastAsia" w:hAnsiTheme="minorHAnsi"/>
              <w:noProof/>
              <w:sz w:val="22"/>
              <w:szCs w:val="22"/>
              <w:lang w:bidi="ar-SA"/>
            </w:rPr>
          </w:pPr>
          <w:hyperlink w:anchor="_Toc451882938" w:history="1">
            <w:r w:rsidR="00AE58A7" w:rsidRPr="00D243DB">
              <w:rPr>
                <w:rStyle w:val="Hyperlink"/>
                <w:noProof/>
              </w:rPr>
              <w:t>S.3.</w:t>
            </w:r>
            <w:r w:rsidR="00AE58A7" w:rsidRPr="00D243DB">
              <w:rPr>
                <w:rFonts w:asciiTheme="minorHAnsi" w:eastAsiaTheme="minorEastAsia" w:hAnsiTheme="minorHAnsi"/>
                <w:noProof/>
                <w:sz w:val="22"/>
                <w:szCs w:val="22"/>
                <w:lang w:bidi="ar-SA"/>
              </w:rPr>
              <w:tab/>
            </w:r>
            <w:r w:rsidR="00AE58A7" w:rsidRPr="00D243DB">
              <w:rPr>
                <w:rStyle w:val="Hyperlink"/>
                <w:noProof/>
              </w:rPr>
              <w:t>In-situ series resistance measurement</w:t>
            </w:r>
            <w:r w:rsidR="00AE58A7" w:rsidRPr="00D243DB">
              <w:rPr>
                <w:noProof/>
                <w:webHidden/>
              </w:rPr>
              <w:tab/>
            </w:r>
          </w:hyperlink>
          <w:r w:rsidR="00F86F2A" w:rsidRPr="00D243DB">
            <w:rPr>
              <w:noProof/>
            </w:rPr>
            <w:t>4</w:t>
          </w:r>
        </w:p>
        <w:p w:rsidR="00AE58A7" w:rsidRPr="00D243DB" w:rsidRDefault="0019698D">
          <w:pPr>
            <w:pStyle w:val="TOC1"/>
            <w:tabs>
              <w:tab w:val="left" w:pos="660"/>
              <w:tab w:val="right" w:leader="dot" w:pos="10070"/>
            </w:tabs>
            <w:rPr>
              <w:rFonts w:asciiTheme="minorHAnsi" w:eastAsiaTheme="minorEastAsia" w:hAnsiTheme="minorHAnsi"/>
              <w:noProof/>
              <w:sz w:val="22"/>
              <w:szCs w:val="22"/>
              <w:lang w:bidi="ar-SA"/>
            </w:rPr>
          </w:pPr>
          <w:hyperlink w:anchor="_Toc451882939" w:history="1">
            <w:r w:rsidR="00AE58A7" w:rsidRPr="00D243DB">
              <w:rPr>
                <w:rStyle w:val="Hyperlink"/>
                <w:noProof/>
              </w:rPr>
              <w:t>S.4.</w:t>
            </w:r>
            <w:r w:rsidR="00AE58A7" w:rsidRPr="00D243DB">
              <w:rPr>
                <w:rFonts w:asciiTheme="minorHAnsi" w:eastAsiaTheme="minorEastAsia" w:hAnsiTheme="minorHAnsi"/>
                <w:noProof/>
                <w:sz w:val="22"/>
                <w:szCs w:val="22"/>
                <w:lang w:bidi="ar-SA"/>
              </w:rPr>
              <w:tab/>
            </w:r>
            <w:r w:rsidR="00AE58A7" w:rsidRPr="00D243DB">
              <w:rPr>
                <w:rStyle w:val="Hyperlink"/>
                <w:noProof/>
              </w:rPr>
              <w:t>Energy and cycle time measurements</w:t>
            </w:r>
            <w:r w:rsidR="00AE58A7" w:rsidRPr="00D243DB">
              <w:rPr>
                <w:noProof/>
                <w:webHidden/>
              </w:rPr>
              <w:tab/>
            </w:r>
            <w:r w:rsidR="00AE58A7" w:rsidRPr="00D243DB">
              <w:rPr>
                <w:noProof/>
                <w:webHidden/>
              </w:rPr>
              <w:fldChar w:fldCharType="begin"/>
            </w:r>
            <w:r w:rsidR="00AE58A7" w:rsidRPr="00D243DB">
              <w:rPr>
                <w:noProof/>
                <w:webHidden/>
              </w:rPr>
              <w:instrText xml:space="preserve"> PAGEREF _Toc451882939 \h </w:instrText>
            </w:r>
            <w:r w:rsidR="00AE58A7" w:rsidRPr="00D243DB">
              <w:rPr>
                <w:noProof/>
                <w:webHidden/>
              </w:rPr>
            </w:r>
            <w:r w:rsidR="00AE58A7" w:rsidRPr="00D243DB">
              <w:rPr>
                <w:noProof/>
                <w:webHidden/>
              </w:rPr>
              <w:fldChar w:fldCharType="separate"/>
            </w:r>
            <w:r w:rsidR="00EE69C1" w:rsidRPr="00D243DB">
              <w:rPr>
                <w:noProof/>
                <w:webHidden/>
              </w:rPr>
              <w:t>6</w:t>
            </w:r>
            <w:r w:rsidR="00AE58A7" w:rsidRPr="00D243DB">
              <w:rPr>
                <w:noProof/>
                <w:webHidden/>
              </w:rPr>
              <w:fldChar w:fldCharType="end"/>
            </w:r>
          </w:hyperlink>
        </w:p>
        <w:p w:rsidR="00AE58A7" w:rsidRPr="00D243DB" w:rsidRDefault="0019698D" w:rsidP="00F86F2A">
          <w:pPr>
            <w:pStyle w:val="TOC1"/>
            <w:tabs>
              <w:tab w:val="left" w:pos="660"/>
              <w:tab w:val="right" w:leader="dot" w:pos="10070"/>
            </w:tabs>
            <w:rPr>
              <w:rFonts w:asciiTheme="minorHAnsi" w:eastAsiaTheme="minorEastAsia" w:hAnsiTheme="minorHAnsi"/>
              <w:noProof/>
              <w:sz w:val="22"/>
              <w:szCs w:val="22"/>
              <w:lang w:bidi="ar-SA"/>
            </w:rPr>
          </w:pPr>
          <w:hyperlink w:anchor="_Toc451882940" w:history="1">
            <w:r w:rsidR="00AE58A7" w:rsidRPr="00D243DB">
              <w:rPr>
                <w:rStyle w:val="Hyperlink"/>
                <w:noProof/>
              </w:rPr>
              <w:t>S.5.</w:t>
            </w:r>
            <w:r w:rsidR="00AE58A7" w:rsidRPr="00D243DB">
              <w:rPr>
                <w:rFonts w:asciiTheme="minorHAnsi" w:eastAsiaTheme="minorEastAsia" w:hAnsiTheme="minorHAnsi"/>
                <w:noProof/>
                <w:sz w:val="22"/>
                <w:szCs w:val="22"/>
                <w:lang w:bidi="ar-SA"/>
              </w:rPr>
              <w:tab/>
            </w:r>
            <w:r w:rsidR="00AE58A7" w:rsidRPr="00D243DB">
              <w:rPr>
                <w:rStyle w:val="Hyperlink"/>
                <w:noProof/>
              </w:rPr>
              <w:t>Energetic operational metric (EOM)</w:t>
            </w:r>
            <w:r w:rsidR="00AE58A7" w:rsidRPr="00D243DB">
              <w:rPr>
                <w:noProof/>
                <w:webHidden/>
              </w:rPr>
              <w:tab/>
            </w:r>
            <w:r w:rsidR="00F86F2A" w:rsidRPr="00D243DB">
              <w:rPr>
                <w:noProof/>
                <w:webHidden/>
              </w:rPr>
              <w:t>7</w:t>
            </w:r>
          </w:hyperlink>
        </w:p>
        <w:p w:rsidR="00D567F4" w:rsidRPr="00D243DB" w:rsidRDefault="00D567F4">
          <w:r w:rsidRPr="00D243DB">
            <w:rPr>
              <w:b/>
              <w:bCs/>
              <w:noProof/>
            </w:rPr>
            <w:fldChar w:fldCharType="end"/>
          </w:r>
        </w:p>
      </w:sdtContent>
    </w:sdt>
    <w:p w:rsidR="00D567F4" w:rsidRPr="00D243DB" w:rsidRDefault="00D567F4" w:rsidP="00D567F4"/>
    <w:p w:rsidR="00DB3805" w:rsidRPr="00D243DB" w:rsidRDefault="00DB3805" w:rsidP="00D939F9">
      <w:r w:rsidRPr="00D243DB">
        <w:br w:type="page"/>
      </w:r>
    </w:p>
    <w:p w:rsidR="00DB3805" w:rsidRPr="00D243DB" w:rsidRDefault="00DB3805" w:rsidP="00671070">
      <w:pPr>
        <w:pStyle w:val="Heading1"/>
      </w:pPr>
      <w:bookmarkStart w:id="0" w:name="_Toc451622451"/>
      <w:bookmarkStart w:id="1" w:name="_Toc451882936"/>
      <w:r w:rsidRPr="00D243DB">
        <w:lastRenderedPageBreak/>
        <w:t>Voltage profile under constant current conditions</w:t>
      </w:r>
      <w:bookmarkEnd w:id="0"/>
      <w:bookmarkEnd w:id="1"/>
    </w:p>
    <w:p w:rsidR="00DB3805" w:rsidRPr="00D243DB" w:rsidRDefault="00DB3805" w:rsidP="000E71C0">
      <w:pPr>
        <w:pStyle w:val="MyNormal"/>
      </w:pPr>
      <w:r w:rsidRPr="00D243DB">
        <w:t xml:space="preserve">As discussed in Section 2.3 of the main text, we performed a series of constant current charging/discharging experiments for a range of applied currents </w:t>
      </w:r>
      <w:r w:rsidR="000E71C0" w:rsidRPr="00D243DB">
        <w:rPr>
          <w:position w:val="-10"/>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6.9pt" o:ole="">
            <v:imagedata r:id="rId8" o:title=""/>
          </v:shape>
          <o:OLEObject Type="Embed" ProgID="Equation.DSMT4" ShapeID="_x0000_i1025" DrawAspect="Content" ObjectID="_1532869791" r:id="rId9"/>
        </w:object>
      </w:r>
      <w:r w:rsidRPr="00D243DB">
        <w:t xml:space="preserve"> and limit voltages</w:t>
      </w:r>
      <w:r w:rsidR="000E71C0" w:rsidRPr="00D243DB">
        <w:t xml:space="preserve"> </w:t>
      </w:r>
      <w:r w:rsidR="000E71C0" w:rsidRPr="00D243DB">
        <w:rPr>
          <w:position w:val="-10"/>
        </w:rPr>
        <w:object w:dxaOrig="400" w:dyaOrig="320">
          <v:shape id="_x0000_i1026" type="#_x0000_t75" style="width:20.65pt;height:16.9pt" o:ole="">
            <v:imagedata r:id="rId10" o:title=""/>
          </v:shape>
          <o:OLEObject Type="Embed" ProgID="Equation.DSMT4" ShapeID="_x0000_i1026" DrawAspect="Content" ObjectID="_1532869792" r:id="rId11"/>
        </w:object>
      </w:r>
      <w:r w:rsidRPr="00D243DB">
        <w:t>. That is, we charged the cell with a constant current until the</w:t>
      </w:r>
      <w:r w:rsidR="007B7FF1" w:rsidRPr="00D243DB">
        <w:t xml:space="preserve"> pre-determined limit voltage was</w:t>
      </w:r>
      <w:r w:rsidRPr="00D243DB">
        <w:t xml:space="preserve"> reached. We then discharged the cell with the same current (with reversed direction) until the voltage reached zero. We present voltage profiles for 25-300 mA charging/discharging current (</w:t>
      </w:r>
      <w:r w:rsidR="000E71C0" w:rsidRPr="00D243DB">
        <w:rPr>
          <w:position w:val="-10"/>
        </w:rPr>
        <w:object w:dxaOrig="240" w:dyaOrig="320">
          <v:shape id="_x0000_i1027" type="#_x0000_t75" style="width:11.25pt;height:16.9pt" o:ole="">
            <v:imagedata r:id="rId8" o:title=""/>
          </v:shape>
          <o:OLEObject Type="Embed" ProgID="Equation.DSMT4" ShapeID="_x0000_i1027" DrawAspect="Content" ObjectID="_1532869793" r:id="rId12"/>
        </w:object>
      </w:r>
      <w:r w:rsidR="000E71C0" w:rsidRPr="00D243DB">
        <w:t xml:space="preserve">) and 0.2-1.2 V limit voltage </w:t>
      </w:r>
      <w:r w:rsidR="000E71C0" w:rsidRPr="00D243DB">
        <w:rPr>
          <w:position w:val="-10"/>
        </w:rPr>
        <w:object w:dxaOrig="580" w:dyaOrig="320">
          <v:shape id="_x0000_i1028" type="#_x0000_t75" style="width:28.8pt;height:16.9pt" o:ole="">
            <v:imagedata r:id="rId13" o:title=""/>
          </v:shape>
          <o:OLEObject Type="Embed" ProgID="Equation.DSMT4" ShapeID="_x0000_i1028" DrawAspect="Content" ObjectID="_1532869794" r:id="rId14"/>
        </w:object>
      </w:r>
      <w:r w:rsidRPr="00D243DB">
        <w:t xml:space="preserve"> in </w:t>
      </w:r>
      <w:r w:rsidR="0007704B" w:rsidRPr="00D243DB">
        <w:t>Fig. </w:t>
      </w:r>
      <w:r w:rsidRPr="00D243DB">
        <w:t>S</w:t>
      </w:r>
      <w:r w:rsidR="000B0911" w:rsidRPr="00D243DB">
        <w:t>.</w:t>
      </w:r>
      <w:r w:rsidRPr="00D243DB">
        <w:t xml:space="preserve">1. Each subplot shows the external voltage measurements for a fixed current </w:t>
      </w:r>
      <w:r w:rsidR="000E71C0" w:rsidRPr="00D243DB">
        <w:rPr>
          <w:position w:val="-10"/>
        </w:rPr>
        <w:object w:dxaOrig="240" w:dyaOrig="320">
          <v:shape id="_x0000_i1029" type="#_x0000_t75" style="width:11.25pt;height:16.9pt" o:ole="">
            <v:imagedata r:id="rId8" o:title=""/>
          </v:shape>
          <o:OLEObject Type="Embed" ProgID="Equation.DSMT4" ShapeID="_x0000_i1029" DrawAspect="Content" ObjectID="_1532869795" r:id="rId15"/>
        </w:object>
      </w:r>
      <w:r w:rsidRPr="00D243DB">
        <w:t xml:space="preserve"> and different </w:t>
      </w:r>
      <w:r w:rsidR="000E71C0" w:rsidRPr="00D243DB">
        <w:rPr>
          <w:position w:val="-10"/>
        </w:rPr>
        <w:object w:dxaOrig="400" w:dyaOrig="320">
          <v:shape id="_x0000_i1030" type="#_x0000_t75" style="width:20.65pt;height:16.9pt" o:ole="">
            <v:imagedata r:id="rId10" o:title=""/>
          </v:shape>
          <o:OLEObject Type="Embed" ProgID="Equation.DSMT4" ShapeID="_x0000_i1030" DrawAspect="Content" ObjectID="_1532869796" r:id="rId16"/>
        </w:object>
      </w:r>
      <w:r w:rsidRPr="00D243DB">
        <w:t xml:space="preserve"> values. Each profile is an overlay of 2 to 4 successive cycles under dynamic steady state (DSS) condition (to show cycle-to-cycle reproducibility). As mentioned in the main paper, the DSS condition is the operation mode wherein voltage and effluent concentration profiles vary negligibly between cycles; DSS is reached after a few cycles. We observe that this is indeed the case for the results in </w:t>
      </w:r>
      <w:r w:rsidR="0007704B" w:rsidRPr="00D243DB">
        <w:t>Fig.</w:t>
      </w:r>
      <w:r w:rsidRPr="00D243DB">
        <w:t xml:space="preserve"> S1, as the voltage profiles shown here are very repeatable across cycles. </w:t>
      </w:r>
    </w:p>
    <w:p w:rsidR="00DB3805" w:rsidRPr="00D243DB" w:rsidRDefault="00DB3805" w:rsidP="00D939F9"/>
    <w:p w:rsidR="000667C3" w:rsidRPr="00D243DB" w:rsidRDefault="000667C3" w:rsidP="00D939F9"/>
    <w:p w:rsidR="0006392F" w:rsidRPr="00D243DB" w:rsidRDefault="0019698D" w:rsidP="00204BEB">
      <w:pPr>
        <w:pStyle w:val="NoSpacing"/>
      </w:pPr>
      <w:r>
        <w:pict>
          <v:shape id="_x0000_i1031" type="#_x0000_t75" style="width:7in;height:3in">
            <v:imagedata r:id="rId17" o:title="FigS1"/>
          </v:shape>
        </w:pict>
      </w:r>
    </w:p>
    <w:p w:rsidR="00DB3805" w:rsidRPr="00D243DB" w:rsidRDefault="00DB3805" w:rsidP="000E71C0">
      <w:pPr>
        <w:pStyle w:val="MyNormal"/>
      </w:pPr>
      <w:r w:rsidRPr="00D243DB">
        <w:t>Fig</w:t>
      </w:r>
      <w:r w:rsidR="0007704B" w:rsidRPr="00D243DB">
        <w:t>.</w:t>
      </w:r>
      <w:r w:rsidRPr="00D243DB">
        <w:t xml:space="preserve"> S</w:t>
      </w:r>
      <w:r w:rsidR="00EC7441" w:rsidRPr="00D243DB">
        <w:t>.</w:t>
      </w:r>
      <w:r w:rsidRPr="00D243DB">
        <w:t>1. Measured external voltage versus time for 25-300 mA charging/discharging current (</w:t>
      </w:r>
      <w:r w:rsidR="000E71C0" w:rsidRPr="00D243DB">
        <w:rPr>
          <w:position w:val="-10"/>
        </w:rPr>
        <w:object w:dxaOrig="240" w:dyaOrig="320">
          <v:shape id="_x0000_i1095" type="#_x0000_t75" style="width:11.25pt;height:16.9pt" o:ole="">
            <v:imagedata r:id="rId8" o:title=""/>
          </v:shape>
          <o:OLEObject Type="Embed" ProgID="Equation.DSMT4" ShapeID="_x0000_i1095" DrawAspect="Content" ObjectID="_1532869797" r:id="rId18"/>
        </w:object>
      </w:r>
      <w:r w:rsidRPr="00D243DB">
        <w:t>) and limit voltages 0.2-1.2 V (</w:t>
      </w:r>
      <w:r w:rsidR="000E71C0" w:rsidRPr="00D243DB">
        <w:rPr>
          <w:position w:val="-10"/>
        </w:rPr>
        <w:object w:dxaOrig="400" w:dyaOrig="320">
          <v:shape id="_x0000_i1096" type="#_x0000_t75" style="width:20.65pt;height:16.9pt" o:ole="">
            <v:imagedata r:id="rId10" o:title=""/>
          </v:shape>
          <o:OLEObject Type="Embed" ProgID="Equation.DSMT4" ShapeID="_x0000_i1096" DrawAspect="Content" ObjectID="_1532869798" r:id="rId19"/>
        </w:object>
      </w:r>
      <w:r w:rsidRPr="00D243DB">
        <w:t xml:space="preserve">). </w:t>
      </w:r>
      <w:proofErr w:type="spellStart"/>
      <w:r w:rsidRPr="00D243DB">
        <w:t>Galvanostatic</w:t>
      </w:r>
      <w:proofErr w:type="spellEnd"/>
      <w:r w:rsidRPr="00D243DB">
        <w:t xml:space="preserve"> voltage increases until the pre-set limit voltage is reached and current is reversed.  The jumps just after current reversals are associated with the fast response associated with purely serial resistive response.  Profiles shown here are all under DSS condition and each profile is an overlay of 2 to 4 successive cycles.</w:t>
      </w:r>
    </w:p>
    <w:p w:rsidR="00DB3805" w:rsidRPr="00D243DB" w:rsidRDefault="00DB3805" w:rsidP="00D939F9"/>
    <w:p w:rsidR="001C3F8E" w:rsidRPr="00D243DB" w:rsidRDefault="001C3F8E" w:rsidP="00D939F9"/>
    <w:p w:rsidR="00DB3805" w:rsidRPr="00D243DB" w:rsidRDefault="00DB3805" w:rsidP="00D939F9"/>
    <w:p w:rsidR="00525B74" w:rsidRPr="00D243DB" w:rsidRDefault="00525B74" w:rsidP="00D939F9"/>
    <w:p w:rsidR="00DB3805" w:rsidRPr="00D243DB" w:rsidRDefault="00DB3805" w:rsidP="00671070">
      <w:pPr>
        <w:pStyle w:val="Heading1"/>
      </w:pPr>
      <w:bookmarkStart w:id="2" w:name="_Toc451622453"/>
      <w:bookmarkStart w:id="3" w:name="_Toc451882937"/>
      <w:r w:rsidRPr="00D243DB">
        <w:lastRenderedPageBreak/>
        <w:t>Effluent concentration measurement</w:t>
      </w:r>
      <w:bookmarkEnd w:id="2"/>
      <w:bookmarkEnd w:id="3"/>
    </w:p>
    <w:p w:rsidR="00DB3805" w:rsidRPr="00D243DB" w:rsidRDefault="00DB3805" w:rsidP="00C5404C">
      <w:pPr>
        <w:pStyle w:val="MyNormal"/>
        <w:rPr>
          <w:color w:val="000000" w:themeColor="text1"/>
        </w:rPr>
      </w:pPr>
      <w:r w:rsidRPr="00D243DB">
        <w:t xml:space="preserve">We measured effluent salt concentration via a calibrated in-line conductivity meter. To this end, we created a calibration curve relating the known </w:t>
      </w:r>
      <w:proofErr w:type="spellStart"/>
      <w:r w:rsidRPr="00D243DB">
        <w:t>KCl</w:t>
      </w:r>
      <w:proofErr w:type="spellEnd"/>
      <w:r w:rsidRPr="00D243DB">
        <w:t xml:space="preserve"> solution concentrations to measured conductivity. In </w:t>
      </w:r>
      <w:r w:rsidR="0007704B" w:rsidRPr="00D243DB">
        <w:t>Fig.</w:t>
      </w:r>
      <w:r w:rsidR="000B0911" w:rsidRPr="00D243DB">
        <w:t> S.2</w:t>
      </w:r>
      <w:r w:rsidRPr="00D243DB">
        <w:t xml:space="preserve">, we present effluent concentration </w:t>
      </w:r>
      <w:r w:rsidRPr="00D243DB">
        <w:rPr>
          <w:iCs/>
        </w:rPr>
        <w:t>versus</w:t>
      </w:r>
      <w:r w:rsidRPr="00D243DB">
        <w:t xml:space="preserve"> time for experimental conditions identical to those of </w:t>
      </w:r>
      <w:r w:rsidR="0007704B" w:rsidRPr="00D243DB">
        <w:t>Fig.</w:t>
      </w:r>
      <w:r w:rsidRPr="00D243DB">
        <w:t> S</w:t>
      </w:r>
      <w:r w:rsidR="000B0911" w:rsidRPr="00D243DB">
        <w:t>.</w:t>
      </w:r>
      <w:r w:rsidRPr="00D243DB">
        <w:t>1. Flow rate was held constant at 2 </w:t>
      </w:r>
      <w:r w:rsidR="00707ED1" w:rsidRPr="00D243DB">
        <w:rPr>
          <w:position w:val="-6"/>
        </w:rPr>
        <w:object w:dxaOrig="980" w:dyaOrig="320">
          <v:shape id="_x0000_i1034" type="#_x0000_t75" style="width:48.85pt;height:16.9pt" o:ole="">
            <v:imagedata r:id="rId20" o:title=""/>
          </v:shape>
          <o:OLEObject Type="Embed" ProgID="Equation.DSMT4" ShapeID="_x0000_i1034" DrawAspect="Content" ObjectID="_1532869799" r:id="rId21"/>
        </w:object>
      </w:r>
      <w:r w:rsidRPr="00D243DB">
        <w:t>. Da</w:t>
      </w:r>
      <w:r w:rsidR="007B7FF1" w:rsidRPr="00D243DB">
        <w:t>shed lines in each subplot show</w:t>
      </w:r>
      <w:r w:rsidRPr="00D243DB">
        <w:t xml:space="preserve"> the influent concentration level. Each curve is</w:t>
      </w:r>
      <w:r w:rsidR="007B7FF1" w:rsidRPr="00D243DB">
        <w:t xml:space="preserve"> an</w:t>
      </w:r>
      <w:r w:rsidRPr="00D243DB">
        <w:t xml:space="preserve"> overlay of 2 to 4 cycles under DSS</w:t>
      </w:r>
      <w:r w:rsidR="007B7FF1" w:rsidRPr="00D243DB">
        <w:t xml:space="preserve"> condition. Results show </w:t>
      </w:r>
      <w:r w:rsidRPr="00D243DB">
        <w:t>very good cycle-to-cycle repeatability for effluent concentration.</w:t>
      </w:r>
      <w:r w:rsidR="00C5404C" w:rsidRPr="00D243DB">
        <w:t xml:space="preserve"> </w:t>
      </w:r>
      <w:r w:rsidR="00C5404C" w:rsidRPr="00D243DB">
        <w:rPr>
          <w:color w:val="000000" w:themeColor="text1"/>
        </w:rPr>
        <w:t xml:space="preserve">In Fig. S.3, we show </w:t>
      </w:r>
      <w:r w:rsidR="002211A9" w:rsidRPr="00D243DB">
        <w:rPr>
          <w:color w:val="000000" w:themeColor="text1"/>
        </w:rPr>
        <w:t xml:space="preserve">example </w:t>
      </w:r>
      <w:r w:rsidR="00C5404C" w:rsidRPr="00D243DB">
        <w:rPr>
          <w:color w:val="000000" w:themeColor="text1"/>
        </w:rPr>
        <w:t xml:space="preserve">measured cell voltage and effluent concentration for the case of 200 mA current and 0.8 V maximum external </w:t>
      </w:r>
      <w:r w:rsidR="002211A9" w:rsidRPr="00D243DB">
        <w:rPr>
          <w:color w:val="000000" w:themeColor="text1"/>
        </w:rPr>
        <w:t xml:space="preserve">potential </w:t>
      </w:r>
      <w:r w:rsidR="00C5404C" w:rsidRPr="00D243DB">
        <w:rPr>
          <w:color w:val="000000" w:themeColor="text1"/>
        </w:rPr>
        <w:t xml:space="preserve">from startup </w:t>
      </w:r>
      <w:r w:rsidR="002211A9" w:rsidRPr="00D243DB">
        <w:rPr>
          <w:color w:val="000000" w:themeColor="text1"/>
        </w:rPr>
        <w:t>until six cycles</w:t>
      </w:r>
      <w:r w:rsidR="00C5404C" w:rsidRPr="00D243DB">
        <w:rPr>
          <w:color w:val="000000" w:themeColor="text1"/>
        </w:rPr>
        <w:t>. Results show establishment of DSS condition after first few cycles.</w:t>
      </w:r>
    </w:p>
    <w:p w:rsidR="00702214" w:rsidRPr="00D243DB" w:rsidRDefault="00702214" w:rsidP="00204BEB">
      <w:pPr>
        <w:pStyle w:val="NoSpacing"/>
      </w:pPr>
    </w:p>
    <w:p w:rsidR="00A00C0E" w:rsidRPr="00D243DB" w:rsidRDefault="0019698D" w:rsidP="00204BEB">
      <w:pPr>
        <w:pStyle w:val="NoSpacing"/>
      </w:pPr>
      <w:r>
        <w:pict>
          <v:shape id="_x0000_i1035" type="#_x0000_t75" style="width:7in;height:212.85pt">
            <v:imagedata r:id="rId22" o:title="FigS2_new"/>
          </v:shape>
        </w:pict>
      </w:r>
    </w:p>
    <w:p w:rsidR="00DB3805" w:rsidRPr="00D243DB" w:rsidRDefault="00DB3805" w:rsidP="001C3F8E">
      <w:pPr>
        <w:pStyle w:val="MyNormal"/>
      </w:pPr>
      <w:r w:rsidRPr="00D243DB">
        <w:t>Fig</w:t>
      </w:r>
      <w:r w:rsidR="0007704B" w:rsidRPr="00D243DB">
        <w:t>.</w:t>
      </w:r>
      <w:r w:rsidRPr="00D243DB">
        <w:t xml:space="preserve"> S</w:t>
      </w:r>
      <w:r w:rsidR="00EC7441" w:rsidRPr="00D243DB">
        <w:t>.</w:t>
      </w:r>
      <w:r w:rsidR="00525B74" w:rsidRPr="00D243DB">
        <w:t>2</w:t>
      </w:r>
      <w:r w:rsidRPr="00D243DB">
        <w:t>. Raw measurements of effluent concentration profiles measured via an in-line conductivity meter. Each curve is</w:t>
      </w:r>
      <w:r w:rsidR="007B7FF1" w:rsidRPr="00D243DB">
        <w:t xml:space="preserve"> an</w:t>
      </w:r>
      <w:r w:rsidRPr="00D243DB">
        <w:t xml:space="preserve"> overlay of two or more cycles under DSS condition. Dashed lines show influent concentration level.</w:t>
      </w:r>
    </w:p>
    <w:p w:rsidR="00DB3805" w:rsidRPr="00D243DB" w:rsidRDefault="00DB3805" w:rsidP="00D939F9"/>
    <w:p w:rsidR="00DB3805" w:rsidRPr="00D243DB" w:rsidRDefault="0019698D" w:rsidP="00C5404C">
      <w:pPr>
        <w:pStyle w:val="NoSpacing"/>
        <w:rPr>
          <w:color w:val="000000" w:themeColor="text1"/>
        </w:rPr>
      </w:pPr>
      <w:r>
        <w:rPr>
          <w:color w:val="000000" w:themeColor="text1"/>
        </w:rPr>
        <w:pict>
          <v:shape id="_x0000_i1036" type="#_x0000_t75" style="width:294.9pt;height:127.1pt">
            <v:imagedata r:id="rId23" o:title="full_cycles"/>
          </v:shape>
        </w:pict>
      </w:r>
    </w:p>
    <w:p w:rsidR="00C5404C" w:rsidRPr="00D243DB" w:rsidRDefault="00C5404C" w:rsidP="00D243DB">
      <w:pPr>
        <w:pStyle w:val="MyNormal"/>
        <w:rPr>
          <w:color w:val="000000" w:themeColor="text1"/>
        </w:rPr>
      </w:pPr>
      <w:r w:rsidRPr="00D243DB">
        <w:rPr>
          <w:color w:val="000000" w:themeColor="text1"/>
        </w:rPr>
        <w:t xml:space="preserve">Fig. S.3. </w:t>
      </w:r>
      <w:r w:rsidR="00BD7164" w:rsidRPr="00D243DB">
        <w:rPr>
          <w:color w:val="000000" w:themeColor="text1"/>
        </w:rPr>
        <w:t xml:space="preserve">Measured (a) voltage and (b) effluent concentration for </w:t>
      </w:r>
      <w:r w:rsidR="00BD7164" w:rsidRPr="00D243DB">
        <w:rPr>
          <w:color w:val="000000" w:themeColor="text1"/>
          <w:position w:val="-10"/>
        </w:rPr>
        <w:object w:dxaOrig="1180" w:dyaOrig="320">
          <v:shape id="_x0000_i1037" type="#_x0000_t75" style="width:58.85pt;height:16.9pt" o:ole="">
            <v:imagedata r:id="rId24" o:title=""/>
          </v:shape>
          <o:OLEObject Type="Embed" ProgID="Equation.DSMT4" ShapeID="_x0000_i1037" DrawAspect="Content" ObjectID="_1532869800" r:id="rId25"/>
        </w:object>
      </w:r>
      <w:r w:rsidR="00BD7164" w:rsidRPr="00D243DB">
        <w:rPr>
          <w:color w:val="000000" w:themeColor="text1"/>
        </w:rPr>
        <w:t xml:space="preserve"> and </w:t>
      </w:r>
      <w:r w:rsidR="00BD7164" w:rsidRPr="00D243DB">
        <w:rPr>
          <w:color w:val="000000" w:themeColor="text1"/>
          <w:position w:val="-10"/>
        </w:rPr>
        <w:object w:dxaOrig="1120" w:dyaOrig="320">
          <v:shape id="_x0000_i1038" type="#_x0000_t75" style="width:55.1pt;height:16.9pt" o:ole="">
            <v:imagedata r:id="rId26" o:title=""/>
          </v:shape>
          <o:OLEObject Type="Embed" ProgID="Equation.DSMT4" ShapeID="_x0000_i1038" DrawAspect="Content" ObjectID="_1532869801" r:id="rId27"/>
        </w:object>
      </w:r>
      <w:r w:rsidR="00BD7164" w:rsidRPr="00D243DB">
        <w:rPr>
          <w:color w:val="000000" w:themeColor="text1"/>
        </w:rPr>
        <w:t xml:space="preserve"> during the first </w:t>
      </w:r>
      <w:r w:rsidR="002211A9" w:rsidRPr="00D243DB">
        <w:rPr>
          <w:color w:val="000000" w:themeColor="text1"/>
        </w:rPr>
        <w:t xml:space="preserve">six </w:t>
      </w:r>
      <w:r w:rsidR="00BD7164" w:rsidRPr="00D243DB">
        <w:rPr>
          <w:color w:val="000000" w:themeColor="text1"/>
        </w:rPr>
        <w:t>cycles. DSS condition is established after first few cycles</w:t>
      </w:r>
      <w:r w:rsidR="00D243DB" w:rsidRPr="00D243DB">
        <w:rPr>
          <w:color w:val="000000" w:themeColor="text1"/>
        </w:rPr>
        <w:t>.</w:t>
      </w:r>
    </w:p>
    <w:p w:rsidR="00525B74" w:rsidRPr="00D243DB" w:rsidRDefault="00525B74" w:rsidP="00525B74">
      <w:pPr>
        <w:pStyle w:val="Heading1"/>
      </w:pPr>
      <w:bookmarkStart w:id="4" w:name="_Toc451622452"/>
      <w:bookmarkStart w:id="5" w:name="_Toc451882938"/>
      <w:r w:rsidRPr="00D243DB">
        <w:lastRenderedPageBreak/>
        <w:t xml:space="preserve">In-situ </w:t>
      </w:r>
      <w:r w:rsidR="00616791" w:rsidRPr="00D243DB">
        <w:t xml:space="preserve">series </w:t>
      </w:r>
      <w:r w:rsidRPr="00D243DB">
        <w:t>resistance measurement</w:t>
      </w:r>
      <w:bookmarkEnd w:id="4"/>
      <w:bookmarkEnd w:id="5"/>
    </w:p>
    <w:p w:rsidR="00F807B9" w:rsidRPr="00D243DB" w:rsidRDefault="00525B74" w:rsidP="00FB6036">
      <w:pPr>
        <w:pStyle w:val="MyNormal"/>
      </w:pPr>
      <w:r w:rsidRPr="00D243DB">
        <w:t xml:space="preserve">In </w:t>
      </w:r>
      <w:r w:rsidR="00707ED1">
        <w:t>Section 3.2</w:t>
      </w:r>
      <w:r w:rsidRPr="00D243DB">
        <w:t xml:space="preserve"> of the main text, we briefly introduced the procedure for in-situ</w:t>
      </w:r>
      <w:r w:rsidR="00616791" w:rsidRPr="00D243DB">
        <w:t xml:space="preserve"> series</w:t>
      </w:r>
      <w:r w:rsidRPr="00D243DB">
        <w:t xml:space="preserve"> resistance measurement. We here discuss this process in more det</w:t>
      </w:r>
      <w:r w:rsidR="00707ED1">
        <w:t>ail. As mentioned in Section 3.2</w:t>
      </w:r>
      <w:r w:rsidRPr="00D243DB">
        <w:t xml:space="preserve"> of the main paper, we provide </w:t>
      </w:r>
      <w:proofErr w:type="spellStart"/>
      <w:r w:rsidRPr="00D243DB">
        <w:t>galvanostatic</w:t>
      </w:r>
      <w:proofErr w:type="spellEnd"/>
      <w:r w:rsidRPr="00D243DB">
        <w:t xml:space="preserve"> control of the cell at specified currents (and pre-set voltage limits) using a sourcemeter (</w:t>
      </w:r>
      <w:proofErr w:type="spellStart"/>
      <w:r w:rsidRPr="00D243DB">
        <w:t>Keithley</w:t>
      </w:r>
      <w:proofErr w:type="spellEnd"/>
      <w:r w:rsidRPr="00D243DB">
        <w:t xml:space="preserve"> 2400, Cleveland, OH).  We then use the same sourcemeter to probe the CDI cell in real-time to measure </w:t>
      </w:r>
      <w:r w:rsidR="00FB6036" w:rsidRPr="00D243DB">
        <w:t>its serial resistance response.</w:t>
      </w:r>
      <w:r w:rsidRPr="00D243DB">
        <w:t xml:space="preserve"> As mentioned in the main text, we use the strong disparity in time response between series and non-series resistances to real-time sample series resistance component of CDI cells. Namely, we apply a small-amplitude (2 mA) AC current signal with ~10 Hz frequency during small portion of the charging or discharging current steps (within each charging or discharging half-cycle we apply a DC current</w:t>
      </w:r>
      <w:r w:rsidR="0090172C" w:rsidRPr="00D243DB">
        <w:t xml:space="preserve"> </w:t>
      </w:r>
      <w:r w:rsidR="0090172C" w:rsidRPr="00D243DB">
        <w:rPr>
          <w:position w:val="-10"/>
        </w:rPr>
        <w:object w:dxaOrig="240" w:dyaOrig="320">
          <v:shape id="_x0000_i1039" type="#_x0000_t75" style="width:11.9pt;height:16.9pt" o:ole="">
            <v:imagedata r:id="rId28" o:title=""/>
          </v:shape>
          <o:OLEObject Type="Embed" ProgID="Equation.DSMT4" ShapeID="_x0000_i1039" DrawAspect="Content" ObjectID="_1532869802" r:id="rId29"/>
        </w:object>
      </w:r>
      <w:r w:rsidRPr="00D243DB">
        <w:t xml:space="preserve">). We apply this 10 Hz probing signal once the external voltage </w:t>
      </w:r>
      <w:r w:rsidR="007B7FF1" w:rsidRPr="00D243DB">
        <w:t>is</w:t>
      </w:r>
      <w:r w:rsidRPr="00D243DB">
        <w:t xml:space="preserve"> a multiple of 50 mV (e.g. at </w:t>
      </w:r>
      <w:r w:rsidR="0090172C" w:rsidRPr="00D243DB">
        <w:rPr>
          <w:position w:val="-10"/>
        </w:rPr>
        <w:object w:dxaOrig="540" w:dyaOrig="320">
          <v:shape id="_x0000_i1040" type="#_x0000_t75" style="width:26.3pt;height:16.9pt" o:ole="">
            <v:imagedata r:id="rId30" o:title=""/>
          </v:shape>
          <o:OLEObject Type="Embed" ProgID="Equation.DSMT4" ShapeID="_x0000_i1040" DrawAspect="Content" ObjectID="_1532869803" r:id="rId31"/>
        </w:object>
      </w:r>
      <w:r w:rsidRPr="00D243DB">
        <w:t>0.4, 0.45, 0.5 V, etc.) and sustain this for order 1 s durations at a time. We initiate such pulse modulated AC currents roughly every 15 s to 4 min during charging and discharging (which last order 4 to 90 min, depending on applied current and set voltage</w:t>
      </w:r>
      <w:r w:rsidR="00616791" w:rsidRPr="00D243DB">
        <w:t xml:space="preserve"> limit). </w:t>
      </w:r>
      <w:r w:rsidRPr="00D243DB">
        <w:t>In Figs. S</w:t>
      </w:r>
      <w:r w:rsidR="0090172C" w:rsidRPr="00D243DB">
        <w:t>.</w:t>
      </w:r>
      <w:r w:rsidR="00B1359F" w:rsidRPr="00D243DB">
        <w:t>4</w:t>
      </w:r>
      <w:r w:rsidRPr="00D243DB">
        <w:t>a and S</w:t>
      </w:r>
      <w:r w:rsidR="0090172C" w:rsidRPr="00D243DB">
        <w:t>.</w:t>
      </w:r>
      <w:r w:rsidR="00B1359F" w:rsidRPr="00D243DB">
        <w:t>4</w:t>
      </w:r>
      <w:r w:rsidRPr="00D243DB">
        <w:t xml:space="preserve">b, we show example of applied current and corresponding voltage response signals for </w:t>
      </w:r>
      <w:r w:rsidR="007B7FF1" w:rsidRPr="00D243DB">
        <w:t>the</w:t>
      </w:r>
      <w:r w:rsidRPr="00D243DB">
        <w:t xml:space="preserve"> case of </w:t>
      </w:r>
      <w:r w:rsidR="0090172C" w:rsidRPr="00D243DB">
        <w:rPr>
          <w:position w:val="-10"/>
        </w:rPr>
        <w:object w:dxaOrig="480" w:dyaOrig="320">
          <v:shape id="_x0000_i1041" type="#_x0000_t75" style="width:24.4pt;height:16.9pt" o:ole="">
            <v:imagedata r:id="rId32" o:title=""/>
          </v:shape>
          <o:OLEObject Type="Embed" ProgID="Equation.DSMT4" ShapeID="_x0000_i1041" DrawAspect="Content" ObjectID="_1532869804" r:id="rId33"/>
        </w:object>
      </w:r>
      <w:r w:rsidRPr="00D243DB">
        <w:t xml:space="preserve">200 mA, </w:t>
      </w:r>
      <w:r w:rsidR="0090172C" w:rsidRPr="00D243DB">
        <w:rPr>
          <w:position w:val="-10"/>
        </w:rPr>
        <w:object w:dxaOrig="600" w:dyaOrig="320">
          <v:shape id="_x0000_i1042" type="#_x0000_t75" style="width:30.05pt;height:16.9pt" o:ole="">
            <v:imagedata r:id="rId34" o:title=""/>
          </v:shape>
          <o:OLEObject Type="Embed" ProgID="Equation.DSMT4" ShapeID="_x0000_i1042" DrawAspect="Content" ObjectID="_1532869805" r:id="rId35"/>
        </w:object>
      </w:r>
      <w:r w:rsidRPr="00D243DB">
        <w:t xml:space="preserve">1 V, and </w:t>
      </w:r>
      <w:r w:rsidR="0090172C" w:rsidRPr="00D243DB">
        <w:rPr>
          <w:position w:val="-10"/>
        </w:rPr>
        <w:object w:dxaOrig="540" w:dyaOrig="320">
          <v:shape id="_x0000_i1043" type="#_x0000_t75" style="width:26.3pt;height:16.9pt" o:ole="">
            <v:imagedata r:id="rId36" o:title=""/>
          </v:shape>
          <o:OLEObject Type="Embed" ProgID="Equation.DSMT4" ShapeID="_x0000_i1043" DrawAspect="Content" ObjectID="_1532869806" r:id="rId37"/>
        </w:object>
      </w:r>
      <w:r w:rsidRPr="00D243DB">
        <w:t xml:space="preserve">1 V during a typical charging step. The applied current profile is a saw-tooth signal with a mean value of </w:t>
      </w:r>
      <w:r w:rsidR="009A1FEB" w:rsidRPr="00D243DB">
        <w:rPr>
          <w:position w:val="-10"/>
        </w:rPr>
        <w:object w:dxaOrig="240" w:dyaOrig="320">
          <v:shape id="_x0000_i1044" type="#_x0000_t75" style="width:11.9pt;height:16.9pt" o:ole="">
            <v:imagedata r:id="rId38" o:title=""/>
          </v:shape>
          <o:OLEObject Type="Embed" ProgID="Equation.DSMT4" ShapeID="_x0000_i1044" DrawAspect="Content" ObjectID="_1532869807" r:id="rId39"/>
        </w:object>
      </w:r>
      <w:r w:rsidR="009A1FEB" w:rsidRPr="00D243DB">
        <w:t xml:space="preserve"> </w:t>
      </w:r>
      <w:r w:rsidRPr="00D243DB">
        <w:t xml:space="preserve">and peak-to-peak amplitude </w:t>
      </w:r>
      <w:r w:rsidR="009A1FEB" w:rsidRPr="00D243DB">
        <w:rPr>
          <w:position w:val="-6"/>
        </w:rPr>
        <w:object w:dxaOrig="320" w:dyaOrig="260">
          <v:shape id="_x0000_i1045" type="#_x0000_t75" style="width:16.9pt;height:13.15pt" o:ole="">
            <v:imagedata r:id="rId40" o:title=""/>
          </v:shape>
          <o:OLEObject Type="Embed" ProgID="Equation.DSMT4" ShapeID="_x0000_i1045" DrawAspect="Content" ObjectID="_1532869808" r:id="rId41"/>
        </w:object>
      </w:r>
      <w:r w:rsidR="009A1FEB" w:rsidRPr="00D243DB">
        <w:t xml:space="preserve"> </w:t>
      </w:r>
      <w:r w:rsidRPr="00D243DB">
        <w:t>of 2 mA. Voltage is a saw-tooth signal on top of an underlying approximately linear voltage response. The DC current signal (</w:t>
      </w:r>
      <w:r w:rsidRPr="00D243DB">
        <w:rPr>
          <w:position w:val="-10"/>
        </w:rPr>
        <w:object w:dxaOrig="240" w:dyaOrig="320">
          <v:shape id="_x0000_i1046" type="#_x0000_t75" style="width:11.25pt;height:15.65pt" o:ole="">
            <v:imagedata r:id="rId42" o:title=""/>
          </v:shape>
          <o:OLEObject Type="Embed" ProgID="Equation.DSMT4" ShapeID="_x0000_i1046" DrawAspect="Content" ObjectID="_1532869809" r:id="rId43"/>
        </w:object>
      </w:r>
      <w:r w:rsidRPr="00D243DB">
        <w:t>) is responsible for charging/discharging the cell and the linear feature in voltage signal. As a result, this underlying voltage feature should be subtracted from the measured signal for correct resistance measurement. We label</w:t>
      </w:r>
      <w:r w:rsidR="007B7FF1" w:rsidRPr="00D243DB">
        <w:t xml:space="preserve"> the voltage signal amplitude</w:t>
      </w:r>
      <w:r w:rsidRPr="00D243DB">
        <w:t xml:space="preserve"> about this linear trend</w:t>
      </w:r>
      <w:r w:rsidR="007B7FF1" w:rsidRPr="00D243DB">
        <w:t xml:space="preserve"> as</w:t>
      </w:r>
      <w:r w:rsidRPr="00D243DB">
        <w:t xml:space="preserve"> </w:t>
      </w:r>
      <w:r w:rsidR="009A1FEB" w:rsidRPr="00D243DB">
        <w:rPr>
          <w:position w:val="-6"/>
        </w:rPr>
        <w:object w:dxaOrig="360" w:dyaOrig="260">
          <v:shape id="_x0000_i1047" type="#_x0000_t75" style="width:16.9pt;height:13.15pt" o:ole="">
            <v:imagedata r:id="rId44" o:title=""/>
          </v:shape>
          <o:OLEObject Type="Embed" ProgID="Equation.DSMT4" ShapeID="_x0000_i1047" DrawAspect="Content" ObjectID="_1532869810" r:id="rId45"/>
        </w:object>
      </w:r>
      <w:r w:rsidR="009A1FEB" w:rsidRPr="00D243DB">
        <w:t xml:space="preserve"> </w:t>
      </w:r>
      <w:r w:rsidRPr="00D243DB">
        <w:t>in Fig. S</w:t>
      </w:r>
      <w:r w:rsidR="009A1FEB" w:rsidRPr="00D243DB">
        <w:t>.</w:t>
      </w:r>
      <w:r w:rsidR="00FB6036" w:rsidRPr="00D243DB">
        <w:t>4</w:t>
      </w:r>
      <w:r w:rsidRPr="00D243DB">
        <w:t xml:space="preserve">b. Series resistance of the cell can then be calculated simply by </w:t>
      </w:r>
      <w:r w:rsidR="007B7FF1" w:rsidRPr="00D243DB">
        <w:t xml:space="preserve">the </w:t>
      </w:r>
      <w:r w:rsidRPr="00D243DB">
        <w:t xml:space="preserve">ratio of </w:t>
      </w:r>
      <w:r w:rsidR="00BD1425" w:rsidRPr="00D243DB">
        <w:rPr>
          <w:position w:val="-6"/>
        </w:rPr>
        <w:object w:dxaOrig="360" w:dyaOrig="260">
          <v:shape id="_x0000_i1048" type="#_x0000_t75" style="width:16.9pt;height:13.15pt" o:ole="">
            <v:imagedata r:id="rId46" o:title=""/>
          </v:shape>
          <o:OLEObject Type="Embed" ProgID="Equation.DSMT4" ShapeID="_x0000_i1048" DrawAspect="Content" ObjectID="_1532869811" r:id="rId47"/>
        </w:object>
      </w:r>
      <w:r w:rsidR="00BD1425" w:rsidRPr="00D243DB">
        <w:t xml:space="preserve"> </w:t>
      </w:r>
      <w:r w:rsidRPr="00D243DB">
        <w:t xml:space="preserve">to </w:t>
      </w:r>
      <w:r w:rsidR="00BD1425" w:rsidRPr="00D243DB">
        <w:rPr>
          <w:position w:val="-6"/>
        </w:rPr>
        <w:object w:dxaOrig="320" w:dyaOrig="260">
          <v:shape id="_x0000_i1049" type="#_x0000_t75" style="width:16.9pt;height:13.15pt" o:ole="">
            <v:imagedata r:id="rId48" o:title=""/>
          </v:shape>
          <o:OLEObject Type="Embed" ProgID="Equation.DSMT4" ShapeID="_x0000_i1049" DrawAspect="Content" ObjectID="_1532869812" r:id="rId49"/>
        </w:object>
      </w:r>
      <w:r w:rsidRPr="00D243DB">
        <w:t xml:space="preserve"> (</w:t>
      </w:r>
      <w:r w:rsidR="00BD1425" w:rsidRPr="00D243DB">
        <w:rPr>
          <w:position w:val="-10"/>
        </w:rPr>
        <w:object w:dxaOrig="1100" w:dyaOrig="320">
          <v:shape id="_x0000_i1050" type="#_x0000_t75" style="width:54.45pt;height:16.9pt" o:ole="">
            <v:imagedata r:id="rId50" o:title=""/>
          </v:shape>
          <o:OLEObject Type="Embed" ProgID="Equation.DSMT4" ShapeID="_x0000_i1050" DrawAspect="Content" ObjectID="_1532869813" r:id="rId51"/>
        </w:object>
      </w:r>
      <w:r w:rsidRPr="00D243DB">
        <w:t>).</w:t>
      </w:r>
    </w:p>
    <w:p w:rsidR="00525B74" w:rsidRPr="00D243DB" w:rsidRDefault="00F807B9" w:rsidP="00FB6036">
      <w:pPr>
        <w:pStyle w:val="MyNormal"/>
      </w:pPr>
      <w:r w:rsidRPr="00D243DB">
        <w:tab/>
      </w:r>
      <w:r w:rsidR="00FB6036" w:rsidRPr="00D243DB">
        <w:t>Fig.</w:t>
      </w:r>
      <w:r w:rsidR="00525B74" w:rsidRPr="00D243DB">
        <w:t> S</w:t>
      </w:r>
      <w:r w:rsidR="006C6A8F" w:rsidRPr="00D243DB">
        <w:t>.</w:t>
      </w:r>
      <w:r w:rsidR="00FB6036" w:rsidRPr="00D243DB">
        <w:t>5</w:t>
      </w:r>
      <w:r w:rsidR="00525B74" w:rsidRPr="00D243DB">
        <w:t xml:space="preserve"> shows the results of resistance measurement </w:t>
      </w:r>
      <w:r w:rsidR="00525B74" w:rsidRPr="00D243DB">
        <w:rPr>
          <w:iCs/>
        </w:rPr>
        <w:t>versus</w:t>
      </w:r>
      <w:r w:rsidR="00525B74" w:rsidRPr="00D243DB">
        <w:t xml:space="preserve"> time with th</w:t>
      </w:r>
      <w:r w:rsidR="007B7FF1" w:rsidRPr="00D243DB">
        <w:t>e method discussed above for</w:t>
      </w:r>
      <w:r w:rsidR="00525B74" w:rsidRPr="00D243DB">
        <w:t xml:space="preserve"> experimental conditions similar to those of Fig. S</w:t>
      </w:r>
      <w:r w:rsidR="006C6A8F" w:rsidRPr="00D243DB">
        <w:t>.</w:t>
      </w:r>
      <w:r w:rsidR="00525B74" w:rsidRPr="00D243DB">
        <w:t xml:space="preserve">1. Each curve is </w:t>
      </w:r>
      <w:r w:rsidR="007B7FF1" w:rsidRPr="00D243DB">
        <w:t xml:space="preserve">an </w:t>
      </w:r>
      <w:r w:rsidR="00525B74" w:rsidRPr="00D243DB">
        <w:t>overlay of 2 to 4 cycles under DSS condition. In Fig.</w:t>
      </w:r>
      <w:r w:rsidR="006C6A8F" w:rsidRPr="00D243DB">
        <w:t> S.</w:t>
      </w:r>
      <w:r w:rsidR="00FB6036" w:rsidRPr="00D243DB">
        <w:t>6</w:t>
      </w:r>
      <w:r w:rsidR="00525B74" w:rsidRPr="00D243DB">
        <w:t xml:space="preserve">, we present the same resistance data but here plot them as a function of </w:t>
      </w:r>
      <w:r w:rsidR="00525B74" w:rsidRPr="00D243DB">
        <w:rPr>
          <w:position w:val="-14"/>
        </w:rPr>
        <w:object w:dxaOrig="520" w:dyaOrig="360">
          <v:shape id="_x0000_i1051" type="#_x0000_t75" style="width:24.4pt;height:16.9pt" o:ole="">
            <v:imagedata r:id="rId52" o:title=""/>
          </v:shape>
          <o:OLEObject Type="Embed" ProgID="Equation.DSMT4" ShapeID="_x0000_i1051" DrawAspect="Content" ObjectID="_1532869814" r:id="rId53"/>
        </w:object>
      </w:r>
      <w:r w:rsidR="006C6A8F" w:rsidRPr="00D243DB">
        <w:t>.</w:t>
      </w:r>
      <w:r w:rsidR="00525B74" w:rsidRPr="00D243DB">
        <w:t xml:space="preserve"> Both figures show higher (lower) series resistance during charging (discharging), consistent with the respective depletion (enrichment) of ions from (into) the spacer layer. Also, variation of resistance is greater at higher currents as expected.</w:t>
      </w:r>
    </w:p>
    <w:p w:rsidR="00525B74" w:rsidRPr="00D243DB" w:rsidRDefault="00525B74" w:rsidP="00525B74"/>
    <w:p w:rsidR="00525B74" w:rsidRPr="00D243DB" w:rsidRDefault="00525B74" w:rsidP="00525B74">
      <w:pPr>
        <w:pStyle w:val="NoSpacing"/>
      </w:pPr>
      <w:r w:rsidRPr="00D243DB">
        <w:rPr>
          <w:noProof/>
        </w:rPr>
        <w:lastRenderedPageBreak/>
        <w:drawing>
          <wp:inline distT="0" distB="0" distL="0" distR="0" wp14:anchorId="62480A4F" wp14:editId="00C05D42">
            <wp:extent cx="3657600" cy="2038350"/>
            <wp:effectExtent l="0" t="0" r="0" b="0"/>
            <wp:docPr id="4" name="Picture 4"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FigS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657600" cy="2038350"/>
                    </a:xfrm>
                    <a:prstGeom prst="rect">
                      <a:avLst/>
                    </a:prstGeom>
                    <a:noFill/>
                    <a:ln>
                      <a:noFill/>
                    </a:ln>
                  </pic:spPr>
                </pic:pic>
              </a:graphicData>
            </a:graphic>
          </wp:inline>
        </w:drawing>
      </w:r>
    </w:p>
    <w:p w:rsidR="00525B74" w:rsidRPr="00D243DB" w:rsidRDefault="00525B74" w:rsidP="008A6B99">
      <w:pPr>
        <w:pStyle w:val="MyNormal"/>
      </w:pPr>
      <w:r w:rsidRPr="00D243DB">
        <w:t>Fig. S</w:t>
      </w:r>
      <w:r w:rsidR="00A30779" w:rsidRPr="00D243DB">
        <w:t>.4</w:t>
      </w:r>
      <w:r w:rsidRPr="00D243DB">
        <w:t>. (a) An example of 2 mA amplitude AC current probe signal (</w:t>
      </w:r>
      <w:r w:rsidR="006C6A8F" w:rsidRPr="00D243DB">
        <w:rPr>
          <w:position w:val="-6"/>
        </w:rPr>
        <w:object w:dxaOrig="320" w:dyaOrig="260">
          <v:shape id="_x0000_i1052" type="#_x0000_t75" style="width:16.9pt;height:13.15pt" o:ole="">
            <v:imagedata r:id="rId55" o:title=""/>
          </v:shape>
          <o:OLEObject Type="Embed" ProgID="Equation.DSMT4" ShapeID="_x0000_i1052" DrawAspect="Content" ObjectID="_1532869815" r:id="rId56"/>
        </w:object>
      </w:r>
      <w:r w:rsidRPr="00D243DB">
        <w:t>) with a fixed 200 mA DC component (</w:t>
      </w:r>
      <w:r w:rsidR="008A6B99" w:rsidRPr="00D243DB">
        <w:rPr>
          <w:position w:val="-10"/>
        </w:rPr>
        <w:object w:dxaOrig="240" w:dyaOrig="320">
          <v:shape id="_x0000_i1053" type="#_x0000_t75" style="width:12.5pt;height:16.9pt" o:ole="">
            <v:imagedata r:id="rId57" o:title=""/>
          </v:shape>
          <o:OLEObject Type="Embed" ProgID="Equation.DSMT4" ShapeID="_x0000_i1053" DrawAspect="Content" ObjectID="_1532869816" r:id="rId58"/>
        </w:object>
      </w:r>
      <w:r w:rsidRPr="00D243DB">
        <w:t xml:space="preserve">) used for in-situ resistance measurement of our </w:t>
      </w:r>
      <w:proofErr w:type="spellStart"/>
      <w:r w:rsidRPr="00D243DB">
        <w:t>fbCDI</w:t>
      </w:r>
      <w:proofErr w:type="spellEnd"/>
      <w:r w:rsidRPr="00D243DB">
        <w:t xml:space="preserve"> cell. (b) Voltage response of the cell for current signal shown in (a). The response consists of saw-tooth with the underlying linear component associated with the charging of electrodes. To calculate resistance, we subtract the underlying linear signal variation from voltage response and divide the amplitude of resulting signal (</w:t>
      </w:r>
      <w:r w:rsidR="008A6B99" w:rsidRPr="00D243DB">
        <w:rPr>
          <w:position w:val="-6"/>
        </w:rPr>
        <w:object w:dxaOrig="360" w:dyaOrig="260">
          <v:shape id="_x0000_i1054" type="#_x0000_t75" style="width:16.9pt;height:13.15pt" o:ole="">
            <v:imagedata r:id="rId59" o:title=""/>
          </v:shape>
          <o:OLEObject Type="Embed" ProgID="Equation.DSMT4" ShapeID="_x0000_i1054" DrawAspect="Content" ObjectID="_1532869817" r:id="rId60"/>
        </w:object>
      </w:r>
      <w:r w:rsidRPr="00D243DB">
        <w:t>) by</w:t>
      </w:r>
      <w:r w:rsidR="008A6B99" w:rsidRPr="00D243DB">
        <w:rPr>
          <w:position w:val="-6"/>
        </w:rPr>
        <w:object w:dxaOrig="320" w:dyaOrig="260">
          <v:shape id="_x0000_i1055" type="#_x0000_t75" style="width:16.9pt;height:13.15pt" o:ole="">
            <v:imagedata r:id="rId61" o:title=""/>
          </v:shape>
          <o:OLEObject Type="Embed" ProgID="Equation.DSMT4" ShapeID="_x0000_i1055" DrawAspect="Content" ObjectID="_1532869818" r:id="rId62"/>
        </w:object>
      </w:r>
      <w:r w:rsidRPr="00D243DB">
        <w:t>.</w:t>
      </w:r>
    </w:p>
    <w:p w:rsidR="008E5954" w:rsidRPr="00D243DB" w:rsidRDefault="008E5954" w:rsidP="008A6B99">
      <w:pPr>
        <w:pStyle w:val="MyNormal"/>
      </w:pPr>
    </w:p>
    <w:p w:rsidR="00245E4A" w:rsidRPr="00D243DB" w:rsidRDefault="00245E4A" w:rsidP="008A6B99">
      <w:pPr>
        <w:pStyle w:val="MyNormal"/>
      </w:pPr>
    </w:p>
    <w:p w:rsidR="00525B74" w:rsidRPr="00D243DB" w:rsidRDefault="00525B74" w:rsidP="00525B74">
      <w:pPr>
        <w:pStyle w:val="NoSpacing"/>
      </w:pPr>
      <w:r w:rsidRPr="00D243DB">
        <w:rPr>
          <w:noProof/>
        </w:rPr>
        <w:drawing>
          <wp:inline distT="0" distB="0" distL="0" distR="0" wp14:anchorId="6EC6574F" wp14:editId="4A106397">
            <wp:extent cx="5943600" cy="2529568"/>
            <wp:effectExtent l="0" t="0" r="0" b="4445"/>
            <wp:docPr id="5" name="Picture 5"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FigS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943600" cy="2529568"/>
                    </a:xfrm>
                    <a:prstGeom prst="rect">
                      <a:avLst/>
                    </a:prstGeom>
                    <a:noFill/>
                    <a:ln>
                      <a:noFill/>
                    </a:ln>
                  </pic:spPr>
                </pic:pic>
              </a:graphicData>
            </a:graphic>
          </wp:inline>
        </w:drawing>
      </w:r>
    </w:p>
    <w:p w:rsidR="00525B74" w:rsidRPr="00D243DB" w:rsidRDefault="00525B74" w:rsidP="00525B74">
      <w:pPr>
        <w:pStyle w:val="MyNormal"/>
      </w:pPr>
      <w:r w:rsidRPr="00D243DB">
        <w:t>Fig. S</w:t>
      </w:r>
      <w:r w:rsidR="00A30779" w:rsidRPr="00D243DB">
        <w:t>.5</w:t>
      </w:r>
      <w:r w:rsidRPr="00D243DB">
        <w:t>. Time resolved series resistance for various currents (25-300 mA) and limit voltages (0.2-1.2 V) during cell operation. Each curve is an overlay of resistance measurements for 2 to 4 cycles under DSS condition.</w:t>
      </w:r>
    </w:p>
    <w:p w:rsidR="00525B74" w:rsidRPr="00D243DB" w:rsidRDefault="00525B74" w:rsidP="00525B74"/>
    <w:p w:rsidR="00525B74" w:rsidRPr="00D243DB" w:rsidRDefault="00525B74" w:rsidP="00525B74">
      <w:pPr>
        <w:pStyle w:val="NoSpacing"/>
      </w:pPr>
      <w:r w:rsidRPr="00D243DB">
        <w:rPr>
          <w:noProof/>
        </w:rPr>
        <w:lastRenderedPageBreak/>
        <w:drawing>
          <wp:inline distT="0" distB="0" distL="0" distR="0" wp14:anchorId="71C980D4" wp14:editId="5A603136">
            <wp:extent cx="5943600" cy="3352119"/>
            <wp:effectExtent l="0" t="0" r="0" b="1270"/>
            <wp:docPr id="6" name="Picture 6"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FigS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943600" cy="3352119"/>
                    </a:xfrm>
                    <a:prstGeom prst="rect">
                      <a:avLst/>
                    </a:prstGeom>
                    <a:noFill/>
                    <a:ln>
                      <a:noFill/>
                    </a:ln>
                  </pic:spPr>
                </pic:pic>
              </a:graphicData>
            </a:graphic>
          </wp:inline>
        </w:drawing>
      </w:r>
    </w:p>
    <w:p w:rsidR="00525B74" w:rsidRPr="00D243DB" w:rsidRDefault="00525B74" w:rsidP="00525B74">
      <w:pPr>
        <w:pStyle w:val="MyNormal"/>
      </w:pPr>
      <w:r w:rsidRPr="00D243DB">
        <w:t>Fig. S</w:t>
      </w:r>
      <w:r w:rsidR="00A30779" w:rsidRPr="00D243DB">
        <w:t>.6</w:t>
      </w:r>
      <w:r w:rsidRPr="00D243DB">
        <w:t xml:space="preserve">. Series resistance during cell operation as a function of </w:t>
      </w:r>
      <w:r w:rsidRPr="00D243DB">
        <w:rPr>
          <w:position w:val="-14"/>
        </w:rPr>
        <w:object w:dxaOrig="520" w:dyaOrig="360">
          <v:shape id="_x0000_i1056" type="#_x0000_t75" style="width:26.9pt;height:17.55pt" o:ole="">
            <v:imagedata r:id="rId65" o:title=""/>
          </v:shape>
          <o:OLEObject Type="Embed" ProgID="Equation.DSMT4" ShapeID="_x0000_i1056" DrawAspect="Content" ObjectID="_1532869819" r:id="rId66"/>
        </w:object>
      </w:r>
      <w:r w:rsidRPr="00D243DB">
        <w:t xml:space="preserve"> for various currents (25-300 mA) and limit voltages (0.2-1.2 V). Resistance values form a closed loop for each experimental condition. The loop becomes wider and more asymmetric under higher currents and higher </w:t>
      </w:r>
      <w:r w:rsidRPr="00D243DB">
        <w:rPr>
          <w:position w:val="-14"/>
        </w:rPr>
        <w:object w:dxaOrig="520" w:dyaOrig="360">
          <v:shape id="_x0000_i1057" type="#_x0000_t75" style="width:28.8pt;height:17.55pt" o:ole="">
            <v:imagedata r:id="rId67" o:title=""/>
          </v:shape>
          <o:OLEObject Type="Embed" ProgID="Equation.DSMT4" ShapeID="_x0000_i1057" DrawAspect="Content" ObjectID="_1532869820" r:id="rId68"/>
        </w:object>
      </w:r>
      <w:r w:rsidRPr="00D243DB">
        <w:t>, which we attribute to the effect of depletion and enrichment of ions from the spacer region (substantial salt removal and enrichment during charging and discharging, respectively).</w:t>
      </w:r>
    </w:p>
    <w:p w:rsidR="004E5574" w:rsidRPr="00D243DB" w:rsidRDefault="004E5574" w:rsidP="00525B74">
      <w:pPr>
        <w:pStyle w:val="MyNormal"/>
      </w:pPr>
    </w:p>
    <w:p w:rsidR="004E5574" w:rsidRPr="00D243DB" w:rsidRDefault="004E5574" w:rsidP="00525B74">
      <w:pPr>
        <w:pStyle w:val="MyNormal"/>
      </w:pPr>
    </w:p>
    <w:p w:rsidR="00DB3805" w:rsidRPr="00D243DB" w:rsidRDefault="00DB3805" w:rsidP="00671070">
      <w:pPr>
        <w:pStyle w:val="Heading1"/>
      </w:pPr>
      <w:bookmarkStart w:id="6" w:name="_Toc451622454"/>
      <w:bookmarkStart w:id="7" w:name="_Toc451882939"/>
      <w:r w:rsidRPr="00D243DB">
        <w:t>Energy and cycle time measurements</w:t>
      </w:r>
      <w:bookmarkEnd w:id="6"/>
      <w:bookmarkEnd w:id="7"/>
      <w:r w:rsidRPr="00D243DB">
        <w:t xml:space="preserve"> </w:t>
      </w:r>
    </w:p>
    <w:p w:rsidR="001A06EE" w:rsidRPr="00D243DB" w:rsidRDefault="00DB3805" w:rsidP="00DE7E99">
      <w:pPr>
        <w:pStyle w:val="MyNormal"/>
      </w:pPr>
      <w:r w:rsidRPr="00D243DB">
        <w:t>As discussed in Section 3.1 of the main text, we measured the input and output energy (</w:t>
      </w:r>
      <w:r w:rsidRPr="00D243DB">
        <w:rPr>
          <w:position w:val="-10"/>
        </w:rPr>
        <w:object w:dxaOrig="320" w:dyaOrig="320">
          <v:shape id="_x0000_i1058" type="#_x0000_t75" style="width:15.65pt;height:15.65pt" o:ole="">
            <v:imagedata r:id="rId69" o:title=""/>
          </v:shape>
          <o:OLEObject Type="Embed" ProgID="Equation.DSMT4" ShapeID="_x0000_i1058" DrawAspect="Content" ObjectID="_1532869821" r:id="rId70"/>
        </w:object>
      </w:r>
      <w:r w:rsidRPr="00D243DB">
        <w:t xml:space="preserve"> and </w:t>
      </w:r>
      <w:r w:rsidRPr="00D243DB">
        <w:rPr>
          <w:position w:val="-10"/>
        </w:rPr>
        <w:object w:dxaOrig="400" w:dyaOrig="320">
          <v:shape id="_x0000_i1059" type="#_x0000_t75" style="width:20.65pt;height:15.65pt" o:ole="">
            <v:imagedata r:id="rId71" o:title=""/>
          </v:shape>
          <o:OLEObject Type="Embed" ProgID="Equation.DSMT4" ShapeID="_x0000_i1059" DrawAspect="Content" ObjectID="_1532869822" r:id="rId72"/>
        </w:object>
      </w:r>
      <w:r w:rsidRPr="00D243DB">
        <w:t xml:space="preserve">) of the cell operation under </w:t>
      </w:r>
      <w:r w:rsidR="007B7FF1" w:rsidRPr="00D243DB">
        <w:t xml:space="preserve">a </w:t>
      </w:r>
      <w:r w:rsidRPr="00D243DB">
        <w:t xml:space="preserve">variety of current and voltage conditions by integrating measured instantaneous power over the charging and discharging </w:t>
      </w:r>
      <w:r w:rsidR="00DE7E99">
        <w:t>phases</w:t>
      </w:r>
      <w:r w:rsidRPr="00D243DB">
        <w:t xml:space="preserve">. We present the results as a function of </w:t>
      </w:r>
      <w:r w:rsidRPr="00D243DB">
        <w:rPr>
          <w:position w:val="-14"/>
        </w:rPr>
        <w:object w:dxaOrig="520" w:dyaOrig="360">
          <v:shape id="_x0000_i1060" type="#_x0000_t75" style="width:26.9pt;height:17.55pt" o:ole="">
            <v:imagedata r:id="rId73" o:title=""/>
          </v:shape>
          <o:OLEObject Type="Embed" ProgID="Equation.DSMT4" ShapeID="_x0000_i1060" DrawAspect="Content" ObjectID="_1532869823" r:id="rId74"/>
        </w:object>
      </w:r>
      <w:r w:rsidRPr="00D243DB">
        <w:t xml:space="preserve"> in </w:t>
      </w:r>
      <w:r w:rsidR="0007704B" w:rsidRPr="00D243DB">
        <w:t>Figs.</w:t>
      </w:r>
      <w:r w:rsidRPr="00D243DB">
        <w:t> S</w:t>
      </w:r>
      <w:r w:rsidR="008A6B99" w:rsidRPr="00D243DB">
        <w:t>.</w:t>
      </w:r>
      <w:r w:rsidR="0036688E" w:rsidRPr="00D243DB">
        <w:t>7</w:t>
      </w:r>
      <w:r w:rsidRPr="00D243DB">
        <w:t>a and S</w:t>
      </w:r>
      <w:r w:rsidR="008A6B99" w:rsidRPr="00D243DB">
        <w:t>.</w:t>
      </w:r>
      <w:r w:rsidR="0036688E" w:rsidRPr="00D243DB">
        <w:t>7</w:t>
      </w:r>
      <w:r w:rsidRPr="00D243DB">
        <w:t xml:space="preserve">b. Both </w:t>
      </w:r>
      <w:r w:rsidR="008A6B99" w:rsidRPr="00D243DB">
        <w:rPr>
          <w:position w:val="-10"/>
        </w:rPr>
        <w:object w:dxaOrig="320" w:dyaOrig="320">
          <v:shape id="_x0000_i1061" type="#_x0000_t75" style="width:16.9pt;height:16.9pt" o:ole="">
            <v:imagedata r:id="rId75" o:title=""/>
          </v:shape>
          <o:OLEObject Type="Embed" ProgID="Equation.DSMT4" ShapeID="_x0000_i1061" DrawAspect="Content" ObjectID="_1532869824" r:id="rId76"/>
        </w:object>
      </w:r>
      <w:r w:rsidR="008A6B99" w:rsidRPr="00D243DB">
        <w:t xml:space="preserve"> </w:t>
      </w:r>
      <w:r w:rsidRPr="00D243DB">
        <w:t xml:space="preserve">and </w:t>
      </w:r>
      <w:r w:rsidR="008A6B99" w:rsidRPr="00D243DB">
        <w:rPr>
          <w:position w:val="-10"/>
        </w:rPr>
        <w:object w:dxaOrig="400" w:dyaOrig="320">
          <v:shape id="_x0000_i1062" type="#_x0000_t75" style="width:20.65pt;height:16.9pt" o:ole="">
            <v:imagedata r:id="rId77" o:title=""/>
          </v:shape>
          <o:OLEObject Type="Embed" ProgID="Equation.DSMT4" ShapeID="_x0000_i1062" DrawAspect="Content" ObjectID="_1532869825" r:id="rId78"/>
        </w:object>
      </w:r>
      <w:r w:rsidR="008A6B99" w:rsidRPr="00D243DB">
        <w:t xml:space="preserve"> </w:t>
      </w:r>
      <w:r w:rsidRPr="00D243DB">
        <w:t xml:space="preserve">monotonically increase with </w:t>
      </w:r>
      <w:r w:rsidRPr="00D243DB">
        <w:rPr>
          <w:position w:val="-14"/>
        </w:rPr>
        <w:object w:dxaOrig="520" w:dyaOrig="360">
          <v:shape id="_x0000_i1063" type="#_x0000_t75" style="width:26.9pt;height:17.55pt" o:ole="">
            <v:imagedata r:id="rId73" o:title=""/>
          </v:shape>
          <o:OLEObject Type="Embed" ProgID="Equation.DSMT4" ShapeID="_x0000_i1063" DrawAspect="Content" ObjectID="_1532869826" r:id="rId79"/>
        </w:object>
      </w:r>
      <w:r w:rsidRPr="00D243DB">
        <w:t xml:space="preserve">. In contrast, current magnitude has a competing effect on input and output energies. </w:t>
      </w:r>
      <w:r w:rsidR="0007704B" w:rsidRPr="00D243DB">
        <w:t>Fig.</w:t>
      </w:r>
      <w:r w:rsidRPr="00D243DB">
        <w:t> S</w:t>
      </w:r>
      <w:r w:rsidR="00B73E4A" w:rsidRPr="00D243DB">
        <w:t>.</w:t>
      </w:r>
      <w:r w:rsidR="00FB6036" w:rsidRPr="00D243DB">
        <w:t>7</w:t>
      </w:r>
      <w:r w:rsidRPr="00D243DB">
        <w:t xml:space="preserve">a shows that energy input </w:t>
      </w:r>
      <w:r w:rsidR="00B73E4A" w:rsidRPr="00D243DB">
        <w:rPr>
          <w:position w:val="-10"/>
        </w:rPr>
        <w:object w:dxaOrig="320" w:dyaOrig="320">
          <v:shape id="_x0000_i1064" type="#_x0000_t75" style="width:16.9pt;height:16.9pt" o:ole="">
            <v:imagedata r:id="rId75" o:title=""/>
          </v:shape>
          <o:OLEObject Type="Embed" ProgID="Equation.DSMT4" ShapeID="_x0000_i1064" DrawAspect="Content" ObjectID="_1532869827" r:id="rId80"/>
        </w:object>
      </w:r>
      <w:r w:rsidRPr="00D243DB">
        <w:t xml:space="preserve"> is generally greater when the cell is operated at higher currents (see arrow in </w:t>
      </w:r>
      <w:r w:rsidR="0007704B" w:rsidRPr="00D243DB">
        <w:t>Fig.</w:t>
      </w:r>
      <w:r w:rsidRPr="00D243DB">
        <w:t> S</w:t>
      </w:r>
      <w:r w:rsidR="00B73E4A" w:rsidRPr="00D243DB">
        <w:t>.</w:t>
      </w:r>
      <w:r w:rsidR="00FB6036" w:rsidRPr="00D243DB">
        <w:t>7</w:t>
      </w:r>
      <w:r w:rsidRPr="00D243DB">
        <w:t xml:space="preserve">a). Energy recovered </w:t>
      </w:r>
      <w:r w:rsidR="00B73E4A" w:rsidRPr="00D243DB">
        <w:rPr>
          <w:position w:val="-10"/>
        </w:rPr>
        <w:object w:dxaOrig="400" w:dyaOrig="320">
          <v:shape id="_x0000_i1065" type="#_x0000_t75" style="width:20.65pt;height:16.9pt" o:ole="">
            <v:imagedata r:id="rId77" o:title=""/>
          </v:shape>
          <o:OLEObject Type="Embed" ProgID="Equation.DSMT4" ShapeID="_x0000_i1065" DrawAspect="Content" ObjectID="_1532869828" r:id="rId81"/>
        </w:object>
      </w:r>
      <w:r w:rsidRPr="00D243DB">
        <w:t>, however, decreases a</w:t>
      </w:r>
      <w:r w:rsidR="007B7FF1" w:rsidRPr="00D243DB">
        <w:t>s discharge current magnitude in</w:t>
      </w:r>
      <w:r w:rsidRPr="00D243DB">
        <w:t>creases. This leads to greater energy loss (</w:t>
      </w:r>
      <w:r w:rsidR="00B73E4A" w:rsidRPr="00D243DB">
        <w:rPr>
          <w:position w:val="-10"/>
        </w:rPr>
        <w:object w:dxaOrig="859" w:dyaOrig="320">
          <v:shape id="_x0000_i1066" type="#_x0000_t75" style="width:43.2pt;height:16.9pt" o:ole="">
            <v:imagedata r:id="rId82" o:title=""/>
          </v:shape>
          <o:OLEObject Type="Embed" ProgID="Equation.DSMT4" ShapeID="_x0000_i1066" DrawAspect="Content" ObjectID="_1532869829" r:id="rId83"/>
        </w:object>
      </w:r>
      <w:r w:rsidRPr="00D243DB">
        <w:t xml:space="preserve">) at high currents, as shown in </w:t>
      </w:r>
      <w:r w:rsidR="0007704B" w:rsidRPr="00D243DB">
        <w:t>Fig.</w:t>
      </w:r>
      <w:r w:rsidR="00FB6036" w:rsidRPr="00D243DB">
        <w:t> 4</w:t>
      </w:r>
      <w:r w:rsidRPr="00D243DB">
        <w:t xml:space="preserve">a of the main text. We additionally plot the cycle time (in units of min) versus </w:t>
      </w:r>
      <w:r w:rsidRPr="00D243DB">
        <w:rPr>
          <w:position w:val="-14"/>
        </w:rPr>
        <w:object w:dxaOrig="520" w:dyaOrig="360">
          <v:shape id="_x0000_i1067" type="#_x0000_t75" style="width:26.3pt;height:17.55pt" o:ole="">
            <v:imagedata r:id="rId73" o:title=""/>
          </v:shape>
          <o:OLEObject Type="Embed" ProgID="Equation.DSMT4" ShapeID="_x0000_i1067" DrawAspect="Content" ObjectID="_1532869830" r:id="rId84"/>
        </w:object>
      </w:r>
      <w:r w:rsidRPr="00D243DB">
        <w:t xml:space="preserve"> in </w:t>
      </w:r>
      <w:r w:rsidR="0007704B" w:rsidRPr="00D243DB">
        <w:t>Fig.</w:t>
      </w:r>
      <w:r w:rsidRPr="00D243DB">
        <w:t> S</w:t>
      </w:r>
      <w:r w:rsidR="00176861" w:rsidRPr="00D243DB">
        <w:t>.</w:t>
      </w:r>
      <w:r w:rsidR="00FB6036" w:rsidRPr="00D243DB">
        <w:t>7</w:t>
      </w:r>
      <w:r w:rsidRPr="00D243DB">
        <w:t xml:space="preserve">c. This figure shows an approximately linear relation between cycle time </w:t>
      </w:r>
      <w:r w:rsidR="00176861" w:rsidRPr="00D243DB">
        <w:rPr>
          <w:position w:val="-14"/>
        </w:rPr>
        <w:object w:dxaOrig="400" w:dyaOrig="360">
          <v:shape id="_x0000_i1068" type="#_x0000_t75" style="width:20.65pt;height:17.55pt" o:ole="">
            <v:imagedata r:id="rId85" o:title=""/>
          </v:shape>
          <o:OLEObject Type="Embed" ProgID="Equation.DSMT4" ShapeID="_x0000_i1068" DrawAspect="Content" ObjectID="_1532869831" r:id="rId86"/>
        </w:object>
      </w:r>
      <w:r w:rsidRPr="00D243DB">
        <w:t xml:space="preserve"> and </w:t>
      </w:r>
      <w:r w:rsidR="00616791" w:rsidRPr="00D243DB">
        <w:rPr>
          <w:position w:val="-14"/>
        </w:rPr>
        <w:object w:dxaOrig="620" w:dyaOrig="360">
          <v:shape id="_x0000_i1069" type="#_x0000_t75" style="width:31.95pt;height:17.55pt" o:ole="">
            <v:imagedata r:id="rId87" o:title=""/>
          </v:shape>
          <o:OLEObject Type="Embed" ProgID="Equation.DSMT4" ShapeID="_x0000_i1069" DrawAspect="Content" ObjectID="_1532869832" r:id="rId88"/>
        </w:object>
      </w:r>
    </w:p>
    <w:p w:rsidR="00262FF0" w:rsidRPr="00D243DB" w:rsidRDefault="00262FF0" w:rsidP="00262FF0">
      <w:pPr>
        <w:pStyle w:val="MyNormal"/>
      </w:pPr>
    </w:p>
    <w:p w:rsidR="00262FF0" w:rsidRPr="00D243DB" w:rsidRDefault="0019698D" w:rsidP="00204BEB">
      <w:pPr>
        <w:pStyle w:val="NoSpacing"/>
      </w:pPr>
      <w:r>
        <w:lastRenderedPageBreak/>
        <w:pict>
          <v:shape id="_x0000_i1070" type="#_x0000_t75" style="width:468.3pt;height:165.3pt">
            <v:imagedata r:id="rId89" o:title="FigS6"/>
          </v:shape>
        </w:pict>
      </w:r>
    </w:p>
    <w:p w:rsidR="00DB3805" w:rsidRPr="00D243DB" w:rsidRDefault="00DB3805" w:rsidP="001C3F8E">
      <w:pPr>
        <w:pStyle w:val="MyNormal"/>
      </w:pPr>
      <w:r w:rsidRPr="00D243DB">
        <w:t>Fig</w:t>
      </w:r>
      <w:r w:rsidR="0007704B" w:rsidRPr="00D243DB">
        <w:t>.</w:t>
      </w:r>
      <w:r w:rsidRPr="00D243DB">
        <w:t xml:space="preserve"> S</w:t>
      </w:r>
      <w:r w:rsidR="00EC7441" w:rsidRPr="00D243DB">
        <w:t>.</w:t>
      </w:r>
      <w:r w:rsidR="00A30779" w:rsidRPr="00D243DB">
        <w:t>7</w:t>
      </w:r>
      <w:r w:rsidRPr="00D243DB">
        <w:t xml:space="preserve">. (a) Input and (b) recovered electrical energy of our </w:t>
      </w:r>
      <w:proofErr w:type="spellStart"/>
      <w:r w:rsidRPr="00D243DB">
        <w:t>fbCDI</w:t>
      </w:r>
      <w:proofErr w:type="spellEnd"/>
      <w:r w:rsidRPr="00D243DB">
        <w:t xml:space="preserve"> cell as a function of </w:t>
      </w:r>
      <w:r w:rsidRPr="00D243DB">
        <w:rPr>
          <w:position w:val="-14"/>
        </w:rPr>
        <w:object w:dxaOrig="520" w:dyaOrig="360">
          <v:shape id="_x0000_i1071" type="#_x0000_t75" style="width:26.3pt;height:17.55pt" o:ole="">
            <v:imagedata r:id="rId73" o:title=""/>
          </v:shape>
          <o:OLEObject Type="Embed" ProgID="Equation.DSMT4" ShapeID="_x0000_i1071" DrawAspect="Content" ObjectID="_1532869833" r:id="rId90"/>
        </w:object>
      </w:r>
      <w:r w:rsidRPr="00D243DB">
        <w:t xml:space="preserve"> for currents in the range of 25-300 mA. Both energies increase monotonically with </w:t>
      </w:r>
      <w:r w:rsidRPr="00D243DB">
        <w:rPr>
          <w:position w:val="-14"/>
        </w:rPr>
        <w:object w:dxaOrig="520" w:dyaOrig="360">
          <v:shape id="_x0000_i1072" type="#_x0000_t75" style="width:26.3pt;height:17.55pt" o:ole="">
            <v:imagedata r:id="rId73" o:title=""/>
          </v:shape>
          <o:OLEObject Type="Embed" ProgID="Equation.DSMT4" ShapeID="_x0000_i1072" DrawAspect="Content" ObjectID="_1532869834" r:id="rId91"/>
        </w:object>
      </w:r>
      <w:r w:rsidRPr="00D243DB">
        <w:t xml:space="preserve">, but current magnitude has opposite effects on input and recovered energy (see arrows in (a) and (b)). (c) Cycle time </w:t>
      </w:r>
      <w:r w:rsidRPr="00D243DB">
        <w:rPr>
          <w:iCs/>
        </w:rPr>
        <w:t>versus</w:t>
      </w:r>
      <w:r w:rsidRPr="00D243DB">
        <w:t xml:space="preserve"> </w:t>
      </w:r>
      <w:r w:rsidRPr="00D243DB">
        <w:rPr>
          <w:position w:val="-14"/>
        </w:rPr>
        <w:object w:dxaOrig="520" w:dyaOrig="360">
          <v:shape id="_x0000_i1073" type="#_x0000_t75" style="width:26.3pt;height:17.55pt" o:ole="">
            <v:imagedata r:id="rId73" o:title=""/>
          </v:shape>
          <o:OLEObject Type="Embed" ProgID="Equation.DSMT4" ShapeID="_x0000_i1073" DrawAspect="Content" ObjectID="_1532869835" r:id="rId92"/>
        </w:object>
      </w:r>
      <w:r w:rsidRPr="00D243DB">
        <w:t xml:space="preserve"> under experimental conditions similar to those of (a) and (b). Cycle time and </w:t>
      </w:r>
      <w:r w:rsidRPr="00D243DB">
        <w:rPr>
          <w:position w:val="-14"/>
        </w:rPr>
        <w:object w:dxaOrig="520" w:dyaOrig="360">
          <v:shape id="_x0000_i1074" type="#_x0000_t75" style="width:26.3pt;height:17.55pt" o:ole="">
            <v:imagedata r:id="rId73" o:title=""/>
          </v:shape>
          <o:OLEObject Type="Embed" ProgID="Equation.DSMT4" ShapeID="_x0000_i1074" DrawAspect="Content" ObjectID="_1532869836" r:id="rId93"/>
        </w:object>
      </w:r>
      <w:r w:rsidRPr="00D243DB">
        <w:t xml:space="preserve"> are approximately linearly dependent.</w:t>
      </w:r>
    </w:p>
    <w:p w:rsidR="00DB3805" w:rsidRPr="00D243DB" w:rsidRDefault="00DB3805" w:rsidP="007A5F6A"/>
    <w:p w:rsidR="005F50E0" w:rsidRPr="00D243DB" w:rsidRDefault="005F50E0" w:rsidP="00D939F9"/>
    <w:p w:rsidR="00DB3805" w:rsidRPr="00D243DB" w:rsidRDefault="00DB3805" w:rsidP="0068774F">
      <w:pPr>
        <w:pStyle w:val="Heading1"/>
      </w:pPr>
      <w:bookmarkStart w:id="8" w:name="_Toc451622456"/>
      <w:bookmarkStart w:id="9" w:name="_Toc451882940"/>
      <w:r w:rsidRPr="00D243DB">
        <w:t>Energetic operational metric (EOM)</w:t>
      </w:r>
      <w:bookmarkEnd w:id="8"/>
      <w:bookmarkEnd w:id="9"/>
    </w:p>
    <w:p w:rsidR="00DB3805" w:rsidRPr="00D243DB" w:rsidRDefault="00DB3805" w:rsidP="0068774F">
      <w:pPr>
        <w:pStyle w:val="MyNormal"/>
      </w:pPr>
      <w:r w:rsidRPr="00D243DB">
        <w:t xml:space="preserve">To study the </w:t>
      </w:r>
      <w:bookmarkStart w:id="10" w:name="OLE_LINK22"/>
      <w:r w:rsidRPr="00D243DB">
        <w:t xml:space="preserve">combined effect </w:t>
      </w:r>
      <w:bookmarkEnd w:id="10"/>
      <w:r w:rsidRPr="00D243DB">
        <w:t xml:space="preserve">of </w:t>
      </w:r>
      <w:r w:rsidRPr="00D243DB">
        <w:rPr>
          <w:i/>
          <w:iCs/>
        </w:rPr>
        <w:t>ENAS</w:t>
      </w:r>
      <w:r w:rsidRPr="00D243DB">
        <w:t xml:space="preserve"> and </w:t>
      </w:r>
      <w:r w:rsidRPr="00D243DB">
        <w:rPr>
          <w:i/>
          <w:iCs/>
        </w:rPr>
        <w:t>ASAR</w:t>
      </w:r>
      <w:r w:rsidRPr="00D243DB">
        <w:t xml:space="preserve"> on desalination performance, we introduce an energetic operational metric (EOM) as </w:t>
      </w:r>
      <w:bookmarkStart w:id="11" w:name="OLE_LINK19"/>
      <w:bookmarkStart w:id="12" w:name="OLE_LINK20"/>
      <w:r w:rsidR="007B7FF1" w:rsidRPr="00D243DB">
        <w:t>the product</w:t>
      </w:r>
      <w:r w:rsidRPr="00D243DB">
        <w:t xml:space="preserve"> </w:t>
      </w:r>
      <w:bookmarkEnd w:id="11"/>
      <w:bookmarkEnd w:id="12"/>
      <w:r w:rsidR="006117CE" w:rsidRPr="00D243DB">
        <w:t xml:space="preserve">of </w:t>
      </w:r>
      <w:r w:rsidR="002211A9" w:rsidRPr="00D243DB">
        <w:t>average salt adsorption rate (</w:t>
      </w:r>
      <w:r w:rsidR="006117CE" w:rsidRPr="00D243DB">
        <w:rPr>
          <w:i/>
          <w:iCs/>
        </w:rPr>
        <w:t>ASAR</w:t>
      </w:r>
      <w:r w:rsidR="002211A9" w:rsidRPr="00D243DB">
        <w:t xml:space="preserve">) </w:t>
      </w:r>
      <w:r w:rsidR="006117CE" w:rsidRPr="00D243DB">
        <w:t>and</w:t>
      </w:r>
      <w:r w:rsidRPr="00D243DB">
        <w:t xml:space="preserve"> </w:t>
      </w:r>
      <w:r w:rsidR="00D243DB" w:rsidRPr="00D243DB">
        <w:t>energy-normalized adsorbed salt</w:t>
      </w:r>
      <w:r w:rsidR="002211A9" w:rsidRPr="00D243DB">
        <w:t xml:space="preserve"> (</w:t>
      </w:r>
      <w:r w:rsidRPr="00D243DB">
        <w:rPr>
          <w:i/>
          <w:iCs/>
        </w:rPr>
        <w:t>ENAS</w:t>
      </w:r>
      <w:r w:rsidR="002211A9" w:rsidRPr="00D243DB">
        <w:rPr>
          <w:iCs/>
        </w:rPr>
        <w:t>)</w:t>
      </w:r>
      <w:r w:rsidRPr="00D243DB">
        <w:t xml:space="preserve">. </w:t>
      </w:r>
      <w:r w:rsidRPr="00D243DB">
        <w:rPr>
          <w:color w:val="000000" w:themeColor="text1"/>
        </w:rPr>
        <w:t xml:space="preserve">We stress that this </w:t>
      </w:r>
      <w:r w:rsidR="006117CE" w:rsidRPr="00D243DB">
        <w:rPr>
          <w:color w:val="000000" w:themeColor="text1"/>
        </w:rPr>
        <w:t>EOM</w:t>
      </w:r>
      <w:r w:rsidRPr="00D243DB">
        <w:rPr>
          <w:color w:val="000000" w:themeColor="text1"/>
        </w:rPr>
        <w:t xml:space="preserve"> is just one arbitrary “cost function”, </w:t>
      </w:r>
      <w:r w:rsidR="006117CE" w:rsidRPr="00D243DB">
        <w:rPr>
          <w:color w:val="000000" w:themeColor="text1"/>
        </w:rPr>
        <w:t xml:space="preserve">which we use here as </w:t>
      </w:r>
      <w:r w:rsidR="007B7FF1" w:rsidRPr="00D243DB">
        <w:rPr>
          <w:color w:val="000000" w:themeColor="text1"/>
        </w:rPr>
        <w:t>an example</w:t>
      </w:r>
      <w:r w:rsidRPr="00D243DB">
        <w:rPr>
          <w:color w:val="000000" w:themeColor="text1"/>
        </w:rPr>
        <w:t xml:space="preserve"> global optimization </w:t>
      </w:r>
      <w:r w:rsidR="00CB5589" w:rsidRPr="00D243DB">
        <w:rPr>
          <w:color w:val="000000" w:themeColor="text1"/>
        </w:rPr>
        <w:t xml:space="preserve">used to balance the </w:t>
      </w:r>
      <w:r w:rsidRPr="00D243DB">
        <w:rPr>
          <w:color w:val="000000" w:themeColor="text1"/>
        </w:rPr>
        <w:t xml:space="preserve">trade-off between </w:t>
      </w:r>
      <w:r w:rsidR="00CB5589" w:rsidRPr="00D243DB">
        <w:rPr>
          <w:color w:val="000000" w:themeColor="text1"/>
        </w:rPr>
        <w:t xml:space="preserve">desalination </w:t>
      </w:r>
      <w:r w:rsidRPr="00D243DB">
        <w:rPr>
          <w:color w:val="000000" w:themeColor="text1"/>
        </w:rPr>
        <w:t xml:space="preserve">throughput and energy efficiency. </w:t>
      </w:r>
      <w:r w:rsidR="0081733C" w:rsidRPr="00D243DB">
        <w:rPr>
          <w:color w:val="000000" w:themeColor="text1"/>
        </w:rPr>
        <w:t>Other poss</w:t>
      </w:r>
      <w:r w:rsidR="00E64C33" w:rsidRPr="00D243DB">
        <w:rPr>
          <w:color w:val="000000" w:themeColor="text1"/>
        </w:rPr>
        <w:t xml:space="preserve">ibilities include </w:t>
      </w:r>
      <w:r w:rsidR="002211A9" w:rsidRPr="00D243DB">
        <w:rPr>
          <w:color w:val="000000" w:themeColor="text1"/>
        </w:rPr>
        <w:t xml:space="preserve">a </w:t>
      </w:r>
      <w:r w:rsidR="00E64C33" w:rsidRPr="00D243DB">
        <w:rPr>
          <w:color w:val="000000" w:themeColor="text1"/>
        </w:rPr>
        <w:t xml:space="preserve">monomial form </w:t>
      </w:r>
      <w:r w:rsidR="00E64C33" w:rsidRPr="00D243DB">
        <w:rPr>
          <w:rFonts w:cstheme="majorBidi"/>
          <w:color w:val="000000" w:themeColor="text1"/>
          <w:position w:val="-10"/>
        </w:rPr>
        <w:object w:dxaOrig="1400" w:dyaOrig="340">
          <v:shape id="_x0000_i1075" type="#_x0000_t75" style="width:70.1pt;height:16.9pt" o:ole="">
            <v:imagedata r:id="rId94" o:title=""/>
          </v:shape>
          <o:OLEObject Type="Embed" ProgID="Equation.DSMT4" ShapeID="_x0000_i1075" DrawAspect="Content" ObjectID="_1532869837" r:id="rId95"/>
        </w:object>
      </w:r>
      <w:r w:rsidR="00E64C33" w:rsidRPr="00D243DB">
        <w:rPr>
          <w:color w:val="000000" w:themeColor="text1"/>
        </w:rPr>
        <w:t xml:space="preserve"> </w:t>
      </w:r>
      <w:r w:rsidR="0081733C" w:rsidRPr="00D243DB">
        <w:rPr>
          <w:color w:val="000000" w:themeColor="text1"/>
        </w:rPr>
        <w:t xml:space="preserve">or linear form </w:t>
      </w:r>
      <w:r w:rsidR="00D243DB" w:rsidRPr="00D243DB">
        <w:rPr>
          <w:rFonts w:cstheme="majorBidi"/>
          <w:color w:val="000000" w:themeColor="text1"/>
          <w:position w:val="-10"/>
        </w:rPr>
        <w:object w:dxaOrig="1980" w:dyaOrig="300">
          <v:shape id="_x0000_i1076" type="#_x0000_t75" style="width:98.9pt;height:15.05pt" o:ole="">
            <v:imagedata r:id="rId96" o:title=""/>
          </v:shape>
          <o:OLEObject Type="Embed" ProgID="Equation.DSMT4" ShapeID="_x0000_i1076" DrawAspect="Content" ObjectID="_1532869838" r:id="rId97"/>
        </w:object>
      </w:r>
      <w:r w:rsidR="0081733C" w:rsidRPr="00D243DB">
        <w:rPr>
          <w:color w:val="000000" w:themeColor="text1"/>
        </w:rPr>
        <w:t xml:space="preserve"> where </w:t>
      </w:r>
      <w:r w:rsidR="0081733C" w:rsidRPr="00D243DB">
        <w:rPr>
          <w:rFonts w:cstheme="majorBidi"/>
          <w:color w:val="000000" w:themeColor="text1"/>
          <w:position w:val="-6"/>
        </w:rPr>
        <w:object w:dxaOrig="225" w:dyaOrig="225">
          <v:shape id="_x0000_i1077" type="#_x0000_t75" style="width:11.9pt;height:11.9pt" o:ole="">
            <v:imagedata r:id="rId98" o:title=""/>
          </v:shape>
          <o:OLEObject Type="Embed" ProgID="Equation.DSMT4" ShapeID="_x0000_i1077" DrawAspect="Content" ObjectID="_1532869839" r:id="rId99"/>
        </w:object>
      </w:r>
      <w:r w:rsidR="0081733C" w:rsidRPr="00D243DB">
        <w:rPr>
          <w:color w:val="000000" w:themeColor="text1"/>
        </w:rPr>
        <w:t xml:space="preserve"> and </w:t>
      </w:r>
      <w:r w:rsidR="0081733C" w:rsidRPr="00D243DB">
        <w:rPr>
          <w:rFonts w:cstheme="majorBidi"/>
          <w:color w:val="000000" w:themeColor="text1"/>
          <w:position w:val="-10"/>
        </w:rPr>
        <w:object w:dxaOrig="240" w:dyaOrig="315">
          <v:shape id="_x0000_i1078" type="#_x0000_t75" style="width:12.5pt;height:15.65pt" o:ole="">
            <v:imagedata r:id="rId100" o:title=""/>
          </v:shape>
          <o:OLEObject Type="Embed" ProgID="Equation.DSMT4" ShapeID="_x0000_i1078" DrawAspect="Content" ObjectID="_1532869840" r:id="rId101"/>
        </w:object>
      </w:r>
      <w:r w:rsidR="0081733C" w:rsidRPr="00D243DB">
        <w:rPr>
          <w:color w:val="000000" w:themeColor="text1"/>
        </w:rPr>
        <w:t xml:space="preserve"> are arbitrary positive constants determined by the user</w:t>
      </w:r>
      <w:r w:rsidR="002211A9" w:rsidRPr="00D243DB">
        <w:rPr>
          <w:color w:val="000000" w:themeColor="text1"/>
        </w:rPr>
        <w:t xml:space="preserve"> and which reflect the relative value the user places on </w:t>
      </w:r>
      <w:r w:rsidR="00D243DB" w:rsidRPr="00D243DB">
        <w:rPr>
          <w:color w:val="000000" w:themeColor="text1"/>
        </w:rPr>
        <w:t>adsorption</w:t>
      </w:r>
      <w:r w:rsidR="002211A9" w:rsidRPr="00D243DB">
        <w:rPr>
          <w:color w:val="000000" w:themeColor="text1"/>
        </w:rPr>
        <w:t xml:space="preserve"> rate versus energy loss</w:t>
      </w:r>
      <w:r w:rsidR="0081733C" w:rsidRPr="00D243DB">
        <w:rPr>
          <w:color w:val="000000" w:themeColor="text1"/>
        </w:rPr>
        <w:t xml:space="preserve">. </w:t>
      </w:r>
      <w:r w:rsidR="00DD2160">
        <w:t>The EOM we present</w:t>
      </w:r>
      <w:r w:rsidR="0081733C" w:rsidRPr="00D243DB">
        <w:t xml:space="preserve"> here</w:t>
      </w:r>
      <w:r w:rsidR="00DD2160">
        <w:t xml:space="preserve"> (</w:t>
      </w:r>
      <w:r w:rsidR="00DD2160" w:rsidRPr="00D243DB">
        <w:rPr>
          <w:rFonts w:cstheme="majorBidi"/>
          <w:color w:val="000000" w:themeColor="text1"/>
          <w:position w:val="-10"/>
        </w:rPr>
        <w:object w:dxaOrig="1260" w:dyaOrig="300">
          <v:shape id="_x0000_i1079" type="#_x0000_t75" style="width:62.6pt;height:15.05pt" o:ole="">
            <v:imagedata r:id="rId102" o:title=""/>
          </v:shape>
          <o:OLEObject Type="Embed" ProgID="Equation.DSMT4" ShapeID="_x0000_i1079" DrawAspect="Content" ObjectID="_1532869841" r:id="rId103"/>
        </w:object>
      </w:r>
      <w:r w:rsidR="00DD2160">
        <w:t>)</w:t>
      </w:r>
      <w:r w:rsidR="0081733C" w:rsidRPr="00D243DB">
        <w:t xml:space="preserve"> </w:t>
      </w:r>
      <w:r w:rsidR="00DD2160">
        <w:t>is</w:t>
      </w:r>
      <w:r w:rsidR="0081733C" w:rsidRPr="00D243DB">
        <w:t xml:space="preserve"> one example figure of merit describing global performance. </w:t>
      </w:r>
      <w:r w:rsidRPr="00D243DB">
        <w:t xml:space="preserve">We then seek a combination of current and </w:t>
      </w:r>
      <w:r w:rsidRPr="00D243DB">
        <w:rPr>
          <w:position w:val="-14"/>
        </w:rPr>
        <w:object w:dxaOrig="520" w:dyaOrig="360">
          <v:shape id="_x0000_i1080" type="#_x0000_t75" style="width:28.8pt;height:17.55pt" o:ole="">
            <v:imagedata r:id="rId67" o:title=""/>
          </v:shape>
          <o:OLEObject Type="Embed" ProgID="Equation.DSMT4" ShapeID="_x0000_i1080" DrawAspect="Content" ObjectID="_1532869842" r:id="rId104"/>
        </w:object>
      </w:r>
      <w:r w:rsidRPr="00D243DB">
        <w:t xml:space="preserve"> (or equivalently, current and cycling time) to maximize our EOM. </w:t>
      </w:r>
      <w:r w:rsidR="0007704B" w:rsidRPr="00D243DB">
        <w:t>Fig.</w:t>
      </w:r>
      <w:r w:rsidR="00A96D13" w:rsidRPr="00D243DB">
        <w:t> S</w:t>
      </w:r>
      <w:r w:rsidR="00176861" w:rsidRPr="00D243DB">
        <w:t>.</w:t>
      </w:r>
      <w:r w:rsidR="00FB6036" w:rsidRPr="00D243DB">
        <w:t>8</w:t>
      </w:r>
      <w:r w:rsidRPr="00D243DB">
        <w:t xml:space="preserve"> shows </w:t>
      </w:r>
      <w:r w:rsidR="007B7FF1" w:rsidRPr="00D243DB">
        <w:t xml:space="preserve">an </w:t>
      </w:r>
      <w:r w:rsidRPr="00D243DB">
        <w:t xml:space="preserve">interpolated contour plot of </w:t>
      </w:r>
      <w:r w:rsidR="007B7FF1" w:rsidRPr="00D243DB">
        <w:t xml:space="preserve">the </w:t>
      </w:r>
      <w:r w:rsidRPr="00D243DB">
        <w:t xml:space="preserve">EOM as a function of </w:t>
      </w:r>
      <w:r w:rsidRPr="00D243DB">
        <w:rPr>
          <w:position w:val="-14"/>
        </w:rPr>
        <w:object w:dxaOrig="520" w:dyaOrig="360">
          <v:shape id="_x0000_i1081" type="#_x0000_t75" style="width:28.8pt;height:17.55pt" o:ole="">
            <v:imagedata r:id="rId67" o:title=""/>
          </v:shape>
          <o:OLEObject Type="Embed" ProgID="Equation.DSMT4" ShapeID="_x0000_i1081" DrawAspect="Content" ObjectID="_1532869843" r:id="rId105"/>
        </w:object>
      </w:r>
      <w:r w:rsidRPr="00D243DB">
        <w:t xml:space="preserve"> and external current. The markers overlaid on the contour plot are the corresponding measurement points (similar to those in </w:t>
      </w:r>
      <w:r w:rsidR="0007704B" w:rsidRPr="00D243DB">
        <w:t>Fig.</w:t>
      </w:r>
      <w:r w:rsidR="00FB6036" w:rsidRPr="00D243DB">
        <w:t> 7</w:t>
      </w:r>
      <w:r w:rsidRPr="00D243DB">
        <w:t xml:space="preserve"> in main text). </w:t>
      </w:r>
      <w:r w:rsidR="00CB5589" w:rsidRPr="00D243DB">
        <w:t xml:space="preserve">The dashed curve is </w:t>
      </w:r>
      <w:r w:rsidR="007B7FF1" w:rsidRPr="00D243DB">
        <w:t>the locus of operational points</w:t>
      </w:r>
      <w:r w:rsidR="00CB5589" w:rsidRPr="00D243DB">
        <w:t xml:space="preserve"> where </w:t>
      </w:r>
      <w:r w:rsidRPr="00D243DB">
        <w:t xml:space="preserve">resistive </w:t>
      </w:r>
      <w:r w:rsidR="00CB5589" w:rsidRPr="00D243DB">
        <w:t xml:space="preserve">loss equals </w:t>
      </w:r>
      <w:r w:rsidRPr="00D243DB">
        <w:t xml:space="preserve">parasitic loss. </w:t>
      </w:r>
      <w:r w:rsidR="0007704B" w:rsidRPr="00D243DB">
        <w:t>Fig.</w:t>
      </w:r>
      <w:r w:rsidR="00A96D13" w:rsidRPr="00D243DB">
        <w:t> S</w:t>
      </w:r>
      <w:r w:rsidR="00176861" w:rsidRPr="00D243DB">
        <w:t>.</w:t>
      </w:r>
      <w:r w:rsidR="00FB6036" w:rsidRPr="00D243DB">
        <w:t>8</w:t>
      </w:r>
      <w:r w:rsidRPr="00D243DB">
        <w:t xml:space="preserve"> shows that </w:t>
      </w:r>
      <w:r w:rsidR="007B7FF1" w:rsidRPr="00D243DB">
        <w:t xml:space="preserve">the </w:t>
      </w:r>
      <w:r w:rsidRPr="00D243DB">
        <w:t xml:space="preserve">EOM dramatically decreases in the limit of low current and high </w:t>
      </w:r>
      <w:r w:rsidRPr="00D243DB">
        <w:rPr>
          <w:position w:val="-14"/>
        </w:rPr>
        <w:object w:dxaOrig="520" w:dyaOrig="360">
          <v:shape id="_x0000_i1082" type="#_x0000_t75" style="width:28.8pt;height:17.55pt" o:ole="">
            <v:imagedata r:id="rId67" o:title=""/>
          </v:shape>
          <o:OLEObject Type="Embed" ProgID="Equation.DSMT4" ShapeID="_x0000_i1082" DrawAspect="Content" ObjectID="_1532869844" r:id="rId106"/>
        </w:object>
      </w:r>
      <w:r w:rsidRPr="00D243DB">
        <w:t xml:space="preserve"> (dominant parasitic loss, negligible </w:t>
      </w:r>
      <w:r w:rsidRPr="00D243DB">
        <w:rPr>
          <w:i/>
          <w:iCs/>
        </w:rPr>
        <w:t>ASAR</w:t>
      </w:r>
      <w:r w:rsidRPr="00D243DB">
        <w:t xml:space="preserve">) as well as high current, low </w:t>
      </w:r>
      <w:r w:rsidRPr="00D243DB">
        <w:rPr>
          <w:position w:val="-14"/>
        </w:rPr>
        <w:object w:dxaOrig="520" w:dyaOrig="360">
          <v:shape id="_x0000_i1083" type="#_x0000_t75" style="width:28.8pt;height:17.55pt" o:ole="">
            <v:imagedata r:id="rId67" o:title=""/>
          </v:shape>
          <o:OLEObject Type="Embed" ProgID="Equation.DSMT4" ShapeID="_x0000_i1083" DrawAspect="Content" ObjectID="_1532869845" r:id="rId107"/>
        </w:object>
      </w:r>
      <w:r w:rsidRPr="00D243DB">
        <w:t xml:space="preserve"> (dominant resistive loss, negligible </w:t>
      </w:r>
      <w:r w:rsidRPr="00D243DB">
        <w:rPr>
          <w:i/>
          <w:iCs/>
        </w:rPr>
        <w:t>ENAS</w:t>
      </w:r>
      <w:r w:rsidRPr="00D243DB">
        <w:t xml:space="preserve">). EOM, on the other hand, is maximized at moderate values of current and </w:t>
      </w:r>
      <w:r w:rsidRPr="00D243DB">
        <w:rPr>
          <w:position w:val="-14"/>
        </w:rPr>
        <w:object w:dxaOrig="520" w:dyaOrig="360">
          <v:shape id="_x0000_i1084" type="#_x0000_t75" style="width:28.8pt;height:17.55pt" o:ole="">
            <v:imagedata r:id="rId67" o:title=""/>
          </v:shape>
          <o:OLEObject Type="Embed" ProgID="Equation.DSMT4" ShapeID="_x0000_i1084" DrawAspect="Content" ObjectID="_1532869846" r:id="rId108"/>
        </w:object>
      </w:r>
      <w:r w:rsidRPr="00D243DB">
        <w:t xml:space="preserve">. The location of maximum EOM coincides with comparable resistive and parasitic losses. </w:t>
      </w:r>
    </w:p>
    <w:p w:rsidR="003F367C" w:rsidRPr="00D243DB" w:rsidRDefault="003F367C" w:rsidP="00204BEB">
      <w:pPr>
        <w:pStyle w:val="NoSpacing"/>
      </w:pPr>
      <w:bookmarkStart w:id="13" w:name="_GoBack"/>
      <w:bookmarkEnd w:id="13"/>
    </w:p>
    <w:p w:rsidR="00335616" w:rsidRPr="00D243DB" w:rsidRDefault="0019698D" w:rsidP="00204BEB">
      <w:pPr>
        <w:pStyle w:val="NoSpacing"/>
      </w:pPr>
      <w:r>
        <w:lastRenderedPageBreak/>
        <w:pict>
          <v:shape id="_x0000_i1085" type="#_x0000_t75" style="width:3in;height:195.35pt">
            <v:imagedata r:id="rId109" o:title="FigS7_new"/>
          </v:shape>
        </w:pict>
      </w:r>
    </w:p>
    <w:p w:rsidR="0070067F" w:rsidRPr="00D939F9" w:rsidRDefault="00DB3805" w:rsidP="0070067F">
      <w:pPr>
        <w:pStyle w:val="MyNormal"/>
      </w:pPr>
      <w:r w:rsidRPr="00D243DB">
        <w:t>Fig</w:t>
      </w:r>
      <w:r w:rsidR="0007704B" w:rsidRPr="00D243DB">
        <w:t>.</w:t>
      </w:r>
      <w:r w:rsidRPr="00D243DB">
        <w:t xml:space="preserve"> S</w:t>
      </w:r>
      <w:r w:rsidR="00EC7441" w:rsidRPr="00D243DB">
        <w:t>.</w:t>
      </w:r>
      <w:r w:rsidR="00A30779" w:rsidRPr="00D243DB">
        <w:t>8</w:t>
      </w:r>
      <w:r w:rsidRPr="00D243DB">
        <w:t>. Contour plot of EOM (defined as</w:t>
      </w:r>
      <w:r w:rsidR="00D52BB5" w:rsidRPr="00D243DB">
        <w:t xml:space="preserve"> </w:t>
      </w:r>
      <w:r w:rsidR="00D52BB5" w:rsidRPr="00D243DB">
        <w:rPr>
          <w:position w:val="-6"/>
        </w:rPr>
        <w:object w:dxaOrig="1380" w:dyaOrig="279">
          <v:shape id="_x0000_i1086" type="#_x0000_t75" style="width:67.6pt;height:13.15pt" o:ole="">
            <v:imagedata r:id="rId110" o:title=""/>
          </v:shape>
          <o:OLEObject Type="Embed" ProgID="Equation.DSMT4" ShapeID="_x0000_i1086" DrawAspect="Content" ObjectID="_1532869847" r:id="rId111"/>
        </w:object>
      </w:r>
      <w:r w:rsidRPr="00D243DB">
        <w:t xml:space="preserve">) as a function of current </w:t>
      </w:r>
      <w:r w:rsidR="00C3012E" w:rsidRPr="00D243DB">
        <w:rPr>
          <w:position w:val="-10"/>
        </w:rPr>
        <w:object w:dxaOrig="240" w:dyaOrig="320">
          <v:shape id="_x0000_i1087" type="#_x0000_t75" style="width:11.9pt;height:16.9pt" o:ole="">
            <v:imagedata r:id="rId112" o:title=""/>
          </v:shape>
          <o:OLEObject Type="Embed" ProgID="Equation.DSMT4" ShapeID="_x0000_i1087" DrawAspect="Content" ObjectID="_1532869848" r:id="rId113"/>
        </w:object>
      </w:r>
      <w:r w:rsidR="00C3012E" w:rsidRPr="00D243DB">
        <w:t xml:space="preserve"> </w:t>
      </w:r>
      <w:r w:rsidRPr="00D243DB">
        <w:t xml:space="preserve">and </w:t>
      </w:r>
      <w:r w:rsidRPr="00D243DB">
        <w:rPr>
          <w:position w:val="-14"/>
        </w:rPr>
        <w:object w:dxaOrig="520" w:dyaOrig="360">
          <v:shape id="_x0000_i1088" type="#_x0000_t75" style="width:28.8pt;height:17.55pt" o:ole="">
            <v:imagedata r:id="rId67" o:title=""/>
          </v:shape>
          <o:OLEObject Type="Embed" ProgID="Equation.DSMT4" ShapeID="_x0000_i1088" DrawAspect="Content" ObjectID="_1532869849" r:id="rId114"/>
        </w:object>
      </w:r>
      <w:r w:rsidRPr="00D243DB">
        <w:t xml:space="preserve">. Dashed </w:t>
      </w:r>
      <w:r w:rsidR="00CF79AD" w:rsidRPr="00D243DB">
        <w:t>curve</w:t>
      </w:r>
      <w:r w:rsidRPr="00D243DB">
        <w:t xml:space="preserve"> and</w:t>
      </w:r>
      <w:r w:rsidR="00CF79AD" w:rsidRPr="00D243DB">
        <w:t xml:space="preserve"> the associated</w:t>
      </w:r>
      <w:r w:rsidRPr="00D243DB">
        <w:t xml:space="preserve"> “parasitic dominant” shaded region are consistent with </w:t>
      </w:r>
      <w:r w:rsidR="0007704B" w:rsidRPr="00D243DB">
        <w:t>Fig.</w:t>
      </w:r>
      <w:r w:rsidR="00FB6036" w:rsidRPr="00D243DB">
        <w:t> 7</w:t>
      </w:r>
      <w:r w:rsidRPr="00D243DB">
        <w:t xml:space="preserve"> of </w:t>
      </w:r>
      <w:r w:rsidR="00CF79AD" w:rsidRPr="00D243DB">
        <w:t xml:space="preserve">the </w:t>
      </w:r>
      <w:r w:rsidRPr="00D243DB">
        <w:t xml:space="preserve">main text. </w:t>
      </w:r>
      <w:r w:rsidR="00CF79AD" w:rsidRPr="00D243DB">
        <w:t>As with</w:t>
      </w:r>
      <w:r w:rsidRPr="00D243DB">
        <w:t xml:space="preserve"> our earlier observations, EOM is maximized roughly in the regions with comparable </w:t>
      </w:r>
      <w:r w:rsidR="009C56B1" w:rsidRPr="00D243DB">
        <w:t>resistive and parasitic losses.</w:t>
      </w:r>
    </w:p>
    <w:sectPr w:rsidR="0070067F" w:rsidRPr="00D939F9" w:rsidSect="00245E4A">
      <w:footerReference w:type="default" r:id="rId115"/>
      <w:footnotePr>
        <w:numFmt w:val="chicago"/>
      </w:footnotePr>
      <w:pgSz w:w="12240" w:h="15840"/>
      <w:pgMar w:top="1440" w:right="1080" w:bottom="135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98D" w:rsidRDefault="0019698D" w:rsidP="00D939F9">
      <w:r>
        <w:separator/>
      </w:r>
    </w:p>
    <w:p w:rsidR="0019698D" w:rsidRDefault="0019698D" w:rsidP="00D939F9"/>
  </w:endnote>
  <w:endnote w:type="continuationSeparator" w:id="0">
    <w:p w:rsidR="0019698D" w:rsidRDefault="0019698D" w:rsidP="00D939F9">
      <w:r>
        <w:continuationSeparator/>
      </w:r>
    </w:p>
    <w:p w:rsidR="0019698D" w:rsidRDefault="0019698D" w:rsidP="00D939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0862181"/>
      <w:docPartObj>
        <w:docPartGallery w:val="Page Numbers (Bottom of Page)"/>
        <w:docPartUnique/>
      </w:docPartObj>
    </w:sdtPr>
    <w:sdtEndPr>
      <w:rPr>
        <w:noProof/>
      </w:rPr>
    </w:sdtEndPr>
    <w:sdtContent>
      <w:p w:rsidR="00CF5E14" w:rsidRDefault="00416F86" w:rsidP="005F50E0">
        <w:pPr>
          <w:pStyle w:val="Footer"/>
          <w:jc w:val="center"/>
        </w:pPr>
        <w:r>
          <w:fldChar w:fldCharType="begin"/>
        </w:r>
        <w:r>
          <w:instrText xml:space="preserve"> PAGE   \* MERGEFORMAT </w:instrText>
        </w:r>
        <w:r>
          <w:fldChar w:fldCharType="separate"/>
        </w:r>
        <w:r w:rsidR="0068774F">
          <w:rPr>
            <w:noProof/>
          </w:rPr>
          <w:t>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98D" w:rsidRDefault="0019698D" w:rsidP="00D939F9">
      <w:r>
        <w:separator/>
      </w:r>
    </w:p>
    <w:p w:rsidR="0019698D" w:rsidRDefault="0019698D" w:rsidP="00D939F9"/>
  </w:footnote>
  <w:footnote w:type="continuationSeparator" w:id="0">
    <w:p w:rsidR="0019698D" w:rsidRDefault="0019698D" w:rsidP="00D939F9">
      <w:r>
        <w:continuationSeparator/>
      </w:r>
    </w:p>
    <w:p w:rsidR="0019698D" w:rsidRDefault="0019698D" w:rsidP="00D939F9"/>
  </w:footnote>
  <w:footnote w:id="1">
    <w:p w:rsidR="001B231E" w:rsidRPr="009B1508" w:rsidRDefault="001B231E" w:rsidP="009B1508">
      <w:pPr>
        <w:rPr>
          <w:sz w:val="20"/>
          <w:szCs w:val="20"/>
        </w:rPr>
      </w:pPr>
      <w:r w:rsidRPr="00774E7C">
        <w:rPr>
          <w:rStyle w:val="FootnoteReference"/>
          <w:sz w:val="20"/>
          <w:szCs w:val="20"/>
          <w:vertAlign w:val="baseline"/>
        </w:rPr>
        <w:footnoteRef/>
      </w:r>
      <w:r w:rsidRPr="00774E7C">
        <w:rPr>
          <w:sz w:val="20"/>
          <w:szCs w:val="20"/>
        </w:rPr>
        <w:t xml:space="preserve"> </w:t>
      </w:r>
      <w:r w:rsidRPr="009B1508">
        <w:rPr>
          <w:sz w:val="20"/>
          <w:szCs w:val="20"/>
        </w:rPr>
        <w:t>To whom correspondence should be addressed. Tel. 650-736-1283, Fax 650-723-7657, E-mail: juan.santiago@stanford.edu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567A66"/>
    <w:multiLevelType w:val="hybridMultilevel"/>
    <w:tmpl w:val="832EE24C"/>
    <w:lvl w:ilvl="0" w:tplc="2F9E5086">
      <w:start w:val="1"/>
      <w:numFmt w:val="decimal"/>
      <w:pStyle w:val="Heading4"/>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BD37F4"/>
    <w:multiLevelType w:val="multilevel"/>
    <w:tmpl w:val="034CE188"/>
    <w:lvl w:ilvl="0">
      <w:start w:val="1"/>
      <w:numFmt w:val="decimal"/>
      <w:pStyle w:val="Heading2"/>
      <w:lvlText w:val="%1."/>
      <w:lvlJc w:val="left"/>
      <w:pPr>
        <w:ind w:left="1080" w:hanging="360"/>
      </w:pPr>
    </w:lvl>
    <w:lvl w:ilvl="1">
      <w:start w:val="1"/>
      <w:numFmt w:val="decimal"/>
      <w:pStyle w:val="Heading3"/>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805"/>
    <w:rsid w:val="00012394"/>
    <w:rsid w:val="00014B9E"/>
    <w:rsid w:val="0006392F"/>
    <w:rsid w:val="000667C3"/>
    <w:rsid w:val="0007704B"/>
    <w:rsid w:val="000A321A"/>
    <w:rsid w:val="000A6180"/>
    <w:rsid w:val="000B0911"/>
    <w:rsid w:val="000C67C9"/>
    <w:rsid w:val="000E71C0"/>
    <w:rsid w:val="00130CBC"/>
    <w:rsid w:val="00176861"/>
    <w:rsid w:val="00183D60"/>
    <w:rsid w:val="0019698D"/>
    <w:rsid w:val="001A06EE"/>
    <w:rsid w:val="001A45CE"/>
    <w:rsid w:val="001B231E"/>
    <w:rsid w:val="001C3F8E"/>
    <w:rsid w:val="001F348B"/>
    <w:rsid w:val="001F59EC"/>
    <w:rsid w:val="00202E45"/>
    <w:rsid w:val="00204BEB"/>
    <w:rsid w:val="002211A9"/>
    <w:rsid w:val="00245E4A"/>
    <w:rsid w:val="00247C09"/>
    <w:rsid w:val="00262FF0"/>
    <w:rsid w:val="0027354D"/>
    <w:rsid w:val="002B513A"/>
    <w:rsid w:val="002D19C7"/>
    <w:rsid w:val="002F3668"/>
    <w:rsid w:val="00301A9C"/>
    <w:rsid w:val="00335616"/>
    <w:rsid w:val="0036688E"/>
    <w:rsid w:val="0038636E"/>
    <w:rsid w:val="003B549B"/>
    <w:rsid w:val="003F367C"/>
    <w:rsid w:val="004048F7"/>
    <w:rsid w:val="00410269"/>
    <w:rsid w:val="0041233D"/>
    <w:rsid w:val="00416F86"/>
    <w:rsid w:val="0042315A"/>
    <w:rsid w:val="00435C92"/>
    <w:rsid w:val="00473DA7"/>
    <w:rsid w:val="004A0C59"/>
    <w:rsid w:val="004E4E41"/>
    <w:rsid w:val="004E5574"/>
    <w:rsid w:val="00525B74"/>
    <w:rsid w:val="0054121C"/>
    <w:rsid w:val="005441A9"/>
    <w:rsid w:val="00580ED0"/>
    <w:rsid w:val="00597FD3"/>
    <w:rsid w:val="005E6588"/>
    <w:rsid w:val="005F50E0"/>
    <w:rsid w:val="00610F29"/>
    <w:rsid w:val="006117CE"/>
    <w:rsid w:val="00616791"/>
    <w:rsid w:val="00671070"/>
    <w:rsid w:val="0068774F"/>
    <w:rsid w:val="006B7206"/>
    <w:rsid w:val="006C6A8F"/>
    <w:rsid w:val="006F1100"/>
    <w:rsid w:val="006F1D9E"/>
    <w:rsid w:val="006F67B8"/>
    <w:rsid w:val="0070067F"/>
    <w:rsid w:val="00702214"/>
    <w:rsid w:val="00707ED1"/>
    <w:rsid w:val="00774E7C"/>
    <w:rsid w:val="007A5F6A"/>
    <w:rsid w:val="007B7FF1"/>
    <w:rsid w:val="007D440E"/>
    <w:rsid w:val="0081733C"/>
    <w:rsid w:val="008A6B99"/>
    <w:rsid w:val="008E4DE5"/>
    <w:rsid w:val="008E5954"/>
    <w:rsid w:val="008F45A9"/>
    <w:rsid w:val="0090172C"/>
    <w:rsid w:val="009A1FEB"/>
    <w:rsid w:val="009B1508"/>
    <w:rsid w:val="009B4F07"/>
    <w:rsid w:val="009C56B1"/>
    <w:rsid w:val="00A00C0E"/>
    <w:rsid w:val="00A30779"/>
    <w:rsid w:val="00A83F7B"/>
    <w:rsid w:val="00A96D13"/>
    <w:rsid w:val="00AE58A7"/>
    <w:rsid w:val="00B054AB"/>
    <w:rsid w:val="00B0681E"/>
    <w:rsid w:val="00B1359F"/>
    <w:rsid w:val="00B20617"/>
    <w:rsid w:val="00B647B5"/>
    <w:rsid w:val="00B73E4A"/>
    <w:rsid w:val="00B743A5"/>
    <w:rsid w:val="00BA3875"/>
    <w:rsid w:val="00BD1425"/>
    <w:rsid w:val="00BD7164"/>
    <w:rsid w:val="00C3012E"/>
    <w:rsid w:val="00C5404C"/>
    <w:rsid w:val="00C57F62"/>
    <w:rsid w:val="00CA0D23"/>
    <w:rsid w:val="00CB5589"/>
    <w:rsid w:val="00CF2331"/>
    <w:rsid w:val="00CF5E14"/>
    <w:rsid w:val="00CF79AD"/>
    <w:rsid w:val="00D243DB"/>
    <w:rsid w:val="00D44BC7"/>
    <w:rsid w:val="00D52BB5"/>
    <w:rsid w:val="00D567F4"/>
    <w:rsid w:val="00D939F9"/>
    <w:rsid w:val="00DB3500"/>
    <w:rsid w:val="00DB3805"/>
    <w:rsid w:val="00DC0E14"/>
    <w:rsid w:val="00DD1A2A"/>
    <w:rsid w:val="00DD2160"/>
    <w:rsid w:val="00DE3D47"/>
    <w:rsid w:val="00DE7E99"/>
    <w:rsid w:val="00E37FE8"/>
    <w:rsid w:val="00E64C33"/>
    <w:rsid w:val="00E66C41"/>
    <w:rsid w:val="00E97F3C"/>
    <w:rsid w:val="00EC7441"/>
    <w:rsid w:val="00EE69C1"/>
    <w:rsid w:val="00F4363C"/>
    <w:rsid w:val="00F807B9"/>
    <w:rsid w:val="00F84FDA"/>
    <w:rsid w:val="00F86F2A"/>
    <w:rsid w:val="00F91328"/>
    <w:rsid w:val="00FB6036"/>
    <w:rsid w:val="00FD1563"/>
    <w:rsid w:val="00FD6338"/>
    <w:rsid w:val="00FE0065"/>
    <w:rsid w:val="00FE2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78571"/>
  <w15:chartTrackingRefBased/>
  <w15:docId w15:val="{0F773B7B-FA13-4AD8-9B4D-83D49407B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939F9"/>
    <w:pPr>
      <w:spacing w:after="0" w:line="276" w:lineRule="auto"/>
      <w:jc w:val="both"/>
    </w:pPr>
    <w:rPr>
      <w:rFonts w:asciiTheme="majorBidi" w:hAnsiTheme="majorBidi"/>
      <w:sz w:val="24"/>
      <w:szCs w:val="24"/>
      <w:lang w:bidi="fa-IR"/>
    </w:rPr>
  </w:style>
  <w:style w:type="paragraph" w:styleId="Heading1">
    <w:name w:val="heading 1"/>
    <w:basedOn w:val="Heading4"/>
    <w:next w:val="Normal"/>
    <w:link w:val="Heading1Char"/>
    <w:uiPriority w:val="9"/>
    <w:qFormat/>
    <w:rsid w:val="00671070"/>
    <w:pPr>
      <w:ind w:left="540" w:hanging="540"/>
      <w:outlineLvl w:val="0"/>
    </w:pPr>
  </w:style>
  <w:style w:type="paragraph" w:styleId="Heading2">
    <w:name w:val="heading 2"/>
    <w:basedOn w:val="ListParagraph"/>
    <w:next w:val="Normal"/>
    <w:link w:val="Heading2Char"/>
    <w:uiPriority w:val="9"/>
    <w:unhideWhenUsed/>
    <w:qFormat/>
    <w:rsid w:val="00DB3500"/>
    <w:pPr>
      <w:numPr>
        <w:numId w:val="1"/>
      </w:numPr>
      <w:outlineLvl w:val="1"/>
    </w:pPr>
    <w:rPr>
      <w:b/>
      <w:bCs/>
    </w:rPr>
  </w:style>
  <w:style w:type="paragraph" w:styleId="Heading3">
    <w:name w:val="heading 3"/>
    <w:basedOn w:val="Heading2"/>
    <w:next w:val="Normal"/>
    <w:link w:val="Heading3Char"/>
    <w:uiPriority w:val="9"/>
    <w:unhideWhenUsed/>
    <w:qFormat/>
    <w:rsid w:val="00DB3500"/>
    <w:pPr>
      <w:numPr>
        <w:ilvl w:val="1"/>
      </w:numPr>
      <w:outlineLvl w:val="2"/>
    </w:pPr>
  </w:style>
  <w:style w:type="paragraph" w:styleId="Heading4">
    <w:name w:val="heading 4"/>
    <w:basedOn w:val="ListParagraph"/>
    <w:next w:val="Normal"/>
    <w:link w:val="Heading4Char"/>
    <w:uiPriority w:val="9"/>
    <w:unhideWhenUsed/>
    <w:qFormat/>
    <w:rsid w:val="009B4F07"/>
    <w:pPr>
      <w:numPr>
        <w:numId w:val="2"/>
      </w:numPr>
      <w:spacing w:line="360" w:lineRule="auto"/>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070"/>
    <w:rPr>
      <w:rFonts w:asciiTheme="majorBidi" w:hAnsiTheme="majorBidi"/>
      <w:b/>
      <w:bCs/>
      <w:sz w:val="24"/>
      <w:szCs w:val="24"/>
      <w:lang w:bidi="fa-IR"/>
    </w:rPr>
  </w:style>
  <w:style w:type="character" w:customStyle="1" w:styleId="Heading2Char">
    <w:name w:val="Heading 2 Char"/>
    <w:basedOn w:val="DefaultParagraphFont"/>
    <w:link w:val="Heading2"/>
    <w:uiPriority w:val="9"/>
    <w:rsid w:val="00DB3500"/>
    <w:rPr>
      <w:rFonts w:asciiTheme="majorBidi" w:hAnsiTheme="majorBidi"/>
      <w:b/>
      <w:bCs/>
      <w:sz w:val="24"/>
      <w:szCs w:val="24"/>
      <w:lang w:bidi="fa-IR"/>
    </w:rPr>
  </w:style>
  <w:style w:type="character" w:customStyle="1" w:styleId="Heading3Char">
    <w:name w:val="Heading 3 Char"/>
    <w:basedOn w:val="DefaultParagraphFont"/>
    <w:link w:val="Heading3"/>
    <w:uiPriority w:val="9"/>
    <w:rsid w:val="00DB3500"/>
    <w:rPr>
      <w:rFonts w:asciiTheme="majorBidi" w:hAnsiTheme="majorBidi"/>
      <w:b/>
      <w:bCs/>
      <w:sz w:val="24"/>
      <w:szCs w:val="24"/>
      <w:lang w:bidi="fa-IR"/>
    </w:rPr>
  </w:style>
  <w:style w:type="numbering" w:customStyle="1" w:styleId="NoList1">
    <w:name w:val="No List1"/>
    <w:next w:val="NoList"/>
    <w:uiPriority w:val="99"/>
    <w:semiHidden/>
    <w:unhideWhenUsed/>
    <w:rsid w:val="00DB3500"/>
  </w:style>
  <w:style w:type="paragraph" w:styleId="ListParagraph">
    <w:name w:val="List Paragraph"/>
    <w:basedOn w:val="Normal"/>
    <w:uiPriority w:val="34"/>
    <w:qFormat/>
    <w:rsid w:val="00DB3500"/>
    <w:pPr>
      <w:spacing w:line="240" w:lineRule="auto"/>
      <w:ind w:left="720"/>
      <w:contextualSpacing/>
    </w:pPr>
  </w:style>
  <w:style w:type="paragraph" w:customStyle="1" w:styleId="MTDisplayEquation">
    <w:name w:val="MTDisplayEquation"/>
    <w:basedOn w:val="Normal"/>
    <w:next w:val="Normal"/>
    <w:link w:val="MTDisplayEquationChar"/>
    <w:rsid w:val="00DB3500"/>
    <w:pPr>
      <w:tabs>
        <w:tab w:val="center" w:pos="5400"/>
        <w:tab w:val="right" w:pos="10800"/>
      </w:tabs>
      <w:spacing w:line="240" w:lineRule="auto"/>
    </w:pPr>
  </w:style>
  <w:style w:type="character" w:customStyle="1" w:styleId="MTDisplayEquationChar">
    <w:name w:val="MTDisplayEquation Char"/>
    <w:basedOn w:val="DefaultParagraphFont"/>
    <w:link w:val="MTDisplayEquation"/>
    <w:rsid w:val="00DB3500"/>
    <w:rPr>
      <w:rFonts w:asciiTheme="majorBidi" w:eastAsiaTheme="minorHAnsi" w:hAnsiTheme="majorBidi"/>
      <w:sz w:val="24"/>
      <w:szCs w:val="24"/>
    </w:rPr>
  </w:style>
  <w:style w:type="paragraph" w:styleId="Header">
    <w:name w:val="header"/>
    <w:basedOn w:val="Normal"/>
    <w:link w:val="HeaderChar"/>
    <w:uiPriority w:val="99"/>
    <w:unhideWhenUsed/>
    <w:rsid w:val="00DB3500"/>
    <w:pPr>
      <w:tabs>
        <w:tab w:val="center" w:pos="4680"/>
        <w:tab w:val="right" w:pos="9360"/>
      </w:tabs>
      <w:spacing w:line="240" w:lineRule="auto"/>
    </w:pPr>
  </w:style>
  <w:style w:type="character" w:customStyle="1" w:styleId="HeaderChar">
    <w:name w:val="Header Char"/>
    <w:basedOn w:val="DefaultParagraphFont"/>
    <w:link w:val="Header"/>
    <w:uiPriority w:val="99"/>
    <w:rsid w:val="00DB3500"/>
    <w:rPr>
      <w:rFonts w:asciiTheme="majorBidi" w:eastAsiaTheme="minorHAnsi" w:hAnsiTheme="majorBidi"/>
      <w:sz w:val="24"/>
      <w:szCs w:val="24"/>
    </w:rPr>
  </w:style>
  <w:style w:type="paragraph" w:styleId="Footer">
    <w:name w:val="footer"/>
    <w:basedOn w:val="Normal"/>
    <w:link w:val="FooterChar"/>
    <w:uiPriority w:val="99"/>
    <w:unhideWhenUsed/>
    <w:rsid w:val="00DB3500"/>
    <w:pPr>
      <w:tabs>
        <w:tab w:val="center" w:pos="4680"/>
        <w:tab w:val="right" w:pos="9360"/>
      </w:tabs>
      <w:spacing w:line="240" w:lineRule="auto"/>
    </w:pPr>
  </w:style>
  <w:style w:type="character" w:customStyle="1" w:styleId="FooterChar">
    <w:name w:val="Footer Char"/>
    <w:basedOn w:val="DefaultParagraphFont"/>
    <w:link w:val="Footer"/>
    <w:uiPriority w:val="99"/>
    <w:rsid w:val="00DB3500"/>
    <w:rPr>
      <w:rFonts w:asciiTheme="majorBidi" w:eastAsiaTheme="minorHAnsi" w:hAnsiTheme="majorBidi"/>
      <w:sz w:val="24"/>
      <w:szCs w:val="24"/>
    </w:rPr>
  </w:style>
  <w:style w:type="character" w:customStyle="1" w:styleId="MTEquationSection">
    <w:name w:val="MTEquationSection"/>
    <w:basedOn w:val="DefaultParagraphFont"/>
    <w:rsid w:val="00DB3500"/>
    <w:rPr>
      <w:b/>
      <w:bCs/>
      <w:vanish/>
      <w:color w:val="FF0000"/>
    </w:rPr>
  </w:style>
  <w:style w:type="character" w:styleId="CommentReference">
    <w:name w:val="annotation reference"/>
    <w:basedOn w:val="DefaultParagraphFont"/>
    <w:uiPriority w:val="99"/>
    <w:semiHidden/>
    <w:unhideWhenUsed/>
    <w:rsid w:val="00DB3500"/>
    <w:rPr>
      <w:sz w:val="16"/>
      <w:szCs w:val="16"/>
    </w:rPr>
  </w:style>
  <w:style w:type="paragraph" w:styleId="CommentText">
    <w:name w:val="annotation text"/>
    <w:basedOn w:val="Normal"/>
    <w:link w:val="CommentTextChar"/>
    <w:uiPriority w:val="99"/>
    <w:unhideWhenUsed/>
    <w:rsid w:val="00DB3500"/>
    <w:pPr>
      <w:spacing w:line="240" w:lineRule="auto"/>
    </w:pPr>
    <w:rPr>
      <w:sz w:val="20"/>
      <w:szCs w:val="20"/>
    </w:rPr>
  </w:style>
  <w:style w:type="character" w:customStyle="1" w:styleId="CommentTextChar">
    <w:name w:val="Comment Text Char"/>
    <w:basedOn w:val="DefaultParagraphFont"/>
    <w:link w:val="CommentText"/>
    <w:uiPriority w:val="99"/>
    <w:rsid w:val="00DB3500"/>
    <w:rPr>
      <w:rFonts w:asciiTheme="majorBidi" w:eastAsiaTheme="minorHAnsi" w:hAnsiTheme="majorBidi"/>
      <w:sz w:val="20"/>
      <w:szCs w:val="20"/>
    </w:rPr>
  </w:style>
  <w:style w:type="paragraph" w:styleId="CommentSubject">
    <w:name w:val="annotation subject"/>
    <w:basedOn w:val="CommentText"/>
    <w:next w:val="CommentText"/>
    <w:link w:val="CommentSubjectChar"/>
    <w:uiPriority w:val="99"/>
    <w:semiHidden/>
    <w:unhideWhenUsed/>
    <w:rsid w:val="00DB3500"/>
    <w:rPr>
      <w:b/>
      <w:bCs/>
    </w:rPr>
  </w:style>
  <w:style w:type="character" w:customStyle="1" w:styleId="CommentSubjectChar">
    <w:name w:val="Comment Subject Char"/>
    <w:basedOn w:val="CommentTextChar"/>
    <w:link w:val="CommentSubject"/>
    <w:uiPriority w:val="99"/>
    <w:semiHidden/>
    <w:rsid w:val="00DB3500"/>
    <w:rPr>
      <w:rFonts w:asciiTheme="majorBidi" w:eastAsiaTheme="minorHAnsi" w:hAnsiTheme="majorBidi"/>
      <w:b/>
      <w:bCs/>
      <w:sz w:val="20"/>
      <w:szCs w:val="20"/>
    </w:rPr>
  </w:style>
  <w:style w:type="paragraph" w:styleId="BalloonText">
    <w:name w:val="Balloon Text"/>
    <w:basedOn w:val="Normal"/>
    <w:link w:val="BalloonTextChar"/>
    <w:uiPriority w:val="99"/>
    <w:semiHidden/>
    <w:unhideWhenUsed/>
    <w:rsid w:val="00DB350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500"/>
    <w:rPr>
      <w:rFonts w:ascii="Segoe UI" w:eastAsiaTheme="minorHAnsi" w:hAnsi="Segoe UI" w:cs="Segoe UI"/>
      <w:sz w:val="18"/>
      <w:szCs w:val="18"/>
    </w:rPr>
  </w:style>
  <w:style w:type="table" w:styleId="TableGrid">
    <w:name w:val="Table Grid"/>
    <w:basedOn w:val="TableNormal"/>
    <w:uiPriority w:val="39"/>
    <w:rsid w:val="00DB3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B3500"/>
    <w:rPr>
      <w:color w:val="808080"/>
    </w:rPr>
  </w:style>
  <w:style w:type="table" w:styleId="GridTable1Light">
    <w:name w:val="Grid Table 1 Light"/>
    <w:basedOn w:val="TableNormal"/>
    <w:uiPriority w:val="46"/>
    <w:rsid w:val="00DB350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itle">
    <w:name w:val="Title"/>
    <w:basedOn w:val="Normal"/>
    <w:next w:val="Normal"/>
    <w:link w:val="TitleChar"/>
    <w:uiPriority w:val="10"/>
    <w:qFormat/>
    <w:rsid w:val="00DB3500"/>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3500"/>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DB3500"/>
    <w:pPr>
      <w:spacing w:before="100" w:beforeAutospacing="1" w:after="100" w:afterAutospacing="1" w:line="240" w:lineRule="auto"/>
    </w:pPr>
    <w:rPr>
      <w:rFonts w:ascii="Times New Roman" w:hAnsi="Times New Roman" w:cs="Times New Roman"/>
    </w:rPr>
  </w:style>
  <w:style w:type="character" w:customStyle="1" w:styleId="apple-converted-space">
    <w:name w:val="apple-converted-space"/>
    <w:basedOn w:val="DefaultParagraphFont"/>
    <w:rsid w:val="00DB3500"/>
  </w:style>
  <w:style w:type="paragraph" w:customStyle="1" w:styleId="BBAuthorName">
    <w:name w:val="BB_Author_Name"/>
    <w:basedOn w:val="Normal"/>
    <w:next w:val="BCAuthorAddress"/>
    <w:rsid w:val="00DB3500"/>
    <w:pPr>
      <w:spacing w:after="240" w:line="480" w:lineRule="auto"/>
      <w:jc w:val="center"/>
    </w:pPr>
    <w:rPr>
      <w:rFonts w:ascii="Times" w:eastAsia="SimSun" w:hAnsi="Times" w:cs="Times New Roman"/>
      <w:i/>
      <w:szCs w:val="20"/>
    </w:rPr>
  </w:style>
  <w:style w:type="paragraph" w:customStyle="1" w:styleId="BCAuthorAddress">
    <w:name w:val="BC_Author_Address"/>
    <w:basedOn w:val="Normal"/>
    <w:next w:val="BIEmailAddress"/>
    <w:rsid w:val="00DB3500"/>
    <w:pPr>
      <w:spacing w:after="240" w:line="480" w:lineRule="auto"/>
      <w:jc w:val="center"/>
    </w:pPr>
    <w:rPr>
      <w:rFonts w:ascii="Times" w:eastAsia="SimSun" w:hAnsi="Times" w:cs="Times New Roman"/>
      <w:szCs w:val="20"/>
    </w:rPr>
  </w:style>
  <w:style w:type="paragraph" w:customStyle="1" w:styleId="BIEmailAddress">
    <w:name w:val="BI_Email_Address"/>
    <w:basedOn w:val="Normal"/>
    <w:next w:val="Normal"/>
    <w:rsid w:val="00DB3500"/>
    <w:pPr>
      <w:spacing w:after="200" w:line="480" w:lineRule="auto"/>
    </w:pPr>
    <w:rPr>
      <w:rFonts w:ascii="Times" w:eastAsia="SimSun" w:hAnsi="Times" w:cs="Times New Roman"/>
      <w:szCs w:val="20"/>
    </w:rPr>
  </w:style>
  <w:style w:type="character" w:styleId="Hyperlink">
    <w:name w:val="Hyperlink"/>
    <w:basedOn w:val="DefaultParagraphFont"/>
    <w:uiPriority w:val="99"/>
    <w:unhideWhenUsed/>
    <w:rsid w:val="00DB3500"/>
    <w:rPr>
      <w:color w:val="0563C1" w:themeColor="hyperlink"/>
      <w:u w:val="single"/>
    </w:rPr>
  </w:style>
  <w:style w:type="paragraph" w:styleId="NoSpacing">
    <w:name w:val="No Spacing"/>
    <w:aliases w:val="Equations"/>
    <w:uiPriority w:val="1"/>
    <w:qFormat/>
    <w:rsid w:val="00DB3500"/>
    <w:pPr>
      <w:spacing w:after="0" w:line="240" w:lineRule="auto"/>
      <w:jc w:val="center"/>
    </w:pPr>
    <w:rPr>
      <w:rFonts w:asciiTheme="majorBidi" w:hAnsiTheme="majorBidi"/>
      <w:sz w:val="24"/>
    </w:rPr>
  </w:style>
  <w:style w:type="character" w:customStyle="1" w:styleId="il">
    <w:name w:val="il"/>
    <w:basedOn w:val="DefaultParagraphFont"/>
    <w:rsid w:val="00DB3500"/>
  </w:style>
  <w:style w:type="paragraph" w:styleId="Revision">
    <w:name w:val="Revision"/>
    <w:hidden/>
    <w:uiPriority w:val="99"/>
    <w:semiHidden/>
    <w:rsid w:val="00DB3500"/>
    <w:pPr>
      <w:spacing w:after="0" w:line="240" w:lineRule="auto"/>
    </w:pPr>
    <w:rPr>
      <w:rFonts w:asciiTheme="majorBidi" w:hAnsiTheme="majorBidi"/>
      <w:sz w:val="24"/>
      <w:szCs w:val="24"/>
    </w:rPr>
  </w:style>
  <w:style w:type="table" w:styleId="LightList">
    <w:name w:val="Light List"/>
    <w:basedOn w:val="TableNormal"/>
    <w:uiPriority w:val="61"/>
    <w:rsid w:val="00DB350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DB3500"/>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Heading4Char">
    <w:name w:val="Heading 4 Char"/>
    <w:basedOn w:val="DefaultParagraphFont"/>
    <w:link w:val="Heading4"/>
    <w:uiPriority w:val="9"/>
    <w:rsid w:val="009B4F07"/>
    <w:rPr>
      <w:rFonts w:asciiTheme="majorBidi" w:hAnsiTheme="majorBidi"/>
      <w:b/>
      <w:bCs/>
      <w:sz w:val="24"/>
      <w:szCs w:val="24"/>
      <w:lang w:bidi="fa-IR"/>
    </w:rPr>
  </w:style>
  <w:style w:type="paragraph" w:styleId="TOCHeading">
    <w:name w:val="TOC Heading"/>
    <w:basedOn w:val="Heading1"/>
    <w:next w:val="Normal"/>
    <w:uiPriority w:val="39"/>
    <w:unhideWhenUsed/>
    <w:qFormat/>
    <w:rsid w:val="002B513A"/>
    <w:pPr>
      <w:keepNext/>
      <w:keepLines/>
      <w:spacing w:before="240" w:line="259" w:lineRule="auto"/>
      <w:ind w:left="0" w:firstLine="0"/>
      <w:contextualSpacing w:val="0"/>
      <w:jc w:val="left"/>
      <w:outlineLvl w:val="9"/>
    </w:pPr>
    <w:rPr>
      <w:rFonts w:asciiTheme="majorHAnsi" w:eastAsiaTheme="majorEastAsia" w:hAnsiTheme="majorHAnsi" w:cstheme="majorBidi"/>
      <w:b w:val="0"/>
      <w:bCs w:val="0"/>
      <w:color w:val="2E74B5" w:themeColor="accent1" w:themeShade="BF"/>
      <w:sz w:val="32"/>
      <w:szCs w:val="32"/>
    </w:rPr>
  </w:style>
  <w:style w:type="paragraph" w:styleId="TOC1">
    <w:name w:val="toc 1"/>
    <w:basedOn w:val="Normal"/>
    <w:next w:val="Normal"/>
    <w:autoRedefine/>
    <w:uiPriority w:val="39"/>
    <w:unhideWhenUsed/>
    <w:rsid w:val="00D567F4"/>
    <w:pPr>
      <w:spacing w:after="100"/>
    </w:pPr>
  </w:style>
  <w:style w:type="paragraph" w:customStyle="1" w:styleId="MyNormal">
    <w:name w:val="MyNormal"/>
    <w:basedOn w:val="Normal"/>
    <w:link w:val="MyNormalChar"/>
    <w:qFormat/>
    <w:rsid w:val="001C3F8E"/>
    <w:pPr>
      <w:spacing w:line="400" w:lineRule="exact"/>
    </w:pPr>
  </w:style>
  <w:style w:type="character" w:customStyle="1" w:styleId="MyNormalChar">
    <w:name w:val="MyNormal Char"/>
    <w:basedOn w:val="DefaultParagraphFont"/>
    <w:link w:val="MyNormal"/>
    <w:rsid w:val="001C3F8E"/>
    <w:rPr>
      <w:rFonts w:asciiTheme="majorBidi" w:hAnsiTheme="majorBidi"/>
      <w:sz w:val="24"/>
      <w:szCs w:val="24"/>
      <w:lang w:bidi="fa-IR"/>
    </w:rPr>
  </w:style>
  <w:style w:type="paragraph" w:styleId="FootnoteText">
    <w:name w:val="footnote text"/>
    <w:basedOn w:val="Normal"/>
    <w:link w:val="FootnoteTextChar"/>
    <w:uiPriority w:val="99"/>
    <w:semiHidden/>
    <w:unhideWhenUsed/>
    <w:rsid w:val="001B231E"/>
    <w:pPr>
      <w:spacing w:line="240" w:lineRule="auto"/>
    </w:pPr>
    <w:rPr>
      <w:sz w:val="20"/>
      <w:szCs w:val="20"/>
    </w:rPr>
  </w:style>
  <w:style w:type="character" w:customStyle="1" w:styleId="FootnoteTextChar">
    <w:name w:val="Footnote Text Char"/>
    <w:basedOn w:val="DefaultParagraphFont"/>
    <w:link w:val="FootnoteText"/>
    <w:uiPriority w:val="99"/>
    <w:semiHidden/>
    <w:rsid w:val="001B231E"/>
    <w:rPr>
      <w:rFonts w:asciiTheme="majorBidi" w:hAnsiTheme="majorBidi"/>
      <w:sz w:val="20"/>
      <w:szCs w:val="20"/>
      <w:lang w:bidi="fa-IR"/>
    </w:rPr>
  </w:style>
  <w:style w:type="character" w:styleId="FootnoteReference">
    <w:name w:val="footnote reference"/>
    <w:basedOn w:val="DefaultParagraphFont"/>
    <w:uiPriority w:val="99"/>
    <w:semiHidden/>
    <w:unhideWhenUsed/>
    <w:rsid w:val="001B231E"/>
    <w:rPr>
      <w:vertAlign w:val="superscript"/>
    </w:rPr>
  </w:style>
  <w:style w:type="character" w:styleId="EndnoteReference">
    <w:name w:val="endnote reference"/>
    <w:basedOn w:val="DefaultParagraphFont"/>
    <w:uiPriority w:val="99"/>
    <w:semiHidden/>
    <w:unhideWhenUsed/>
    <w:rsid w:val="006B72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9710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wmf"/><Relationship Id="rId117" Type="http://schemas.openxmlformats.org/officeDocument/2006/relationships/theme" Target="theme/theme1.xml"/><Relationship Id="rId21" Type="http://schemas.openxmlformats.org/officeDocument/2006/relationships/oleObject" Target="embeddings/oleObject9.bin"/><Relationship Id="rId42" Type="http://schemas.openxmlformats.org/officeDocument/2006/relationships/image" Target="media/image17.wmf"/><Relationship Id="rId47" Type="http://schemas.openxmlformats.org/officeDocument/2006/relationships/oleObject" Target="embeddings/oleObject21.bin"/><Relationship Id="rId63" Type="http://schemas.openxmlformats.org/officeDocument/2006/relationships/image" Target="media/image28.jpeg"/><Relationship Id="rId68" Type="http://schemas.openxmlformats.org/officeDocument/2006/relationships/oleObject" Target="embeddings/oleObject30.bin"/><Relationship Id="rId84" Type="http://schemas.openxmlformats.org/officeDocument/2006/relationships/oleObject" Target="embeddings/oleObject40.bin"/><Relationship Id="rId89" Type="http://schemas.openxmlformats.org/officeDocument/2006/relationships/image" Target="media/image40.jpeg"/><Relationship Id="rId112" Type="http://schemas.openxmlformats.org/officeDocument/2006/relationships/image" Target="media/image48.wmf"/><Relationship Id="rId16" Type="http://schemas.openxmlformats.org/officeDocument/2006/relationships/oleObject" Target="embeddings/oleObject6.bin"/><Relationship Id="rId107" Type="http://schemas.openxmlformats.org/officeDocument/2006/relationships/oleObject" Target="embeddings/oleObject55.bin"/><Relationship Id="rId11" Type="http://schemas.openxmlformats.org/officeDocument/2006/relationships/oleObject" Target="embeddings/oleObject2.bin"/><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oleObject" Target="embeddings/oleObject16.bin"/><Relationship Id="rId40" Type="http://schemas.openxmlformats.org/officeDocument/2006/relationships/image" Target="media/image16.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oleObject" Target="embeddings/oleObject26.bin"/><Relationship Id="rId66" Type="http://schemas.openxmlformats.org/officeDocument/2006/relationships/oleObject" Target="embeddings/oleObject29.bin"/><Relationship Id="rId74" Type="http://schemas.openxmlformats.org/officeDocument/2006/relationships/oleObject" Target="embeddings/oleObject33.bin"/><Relationship Id="rId79" Type="http://schemas.openxmlformats.org/officeDocument/2006/relationships/oleObject" Target="embeddings/oleObject36.bin"/><Relationship Id="rId87" Type="http://schemas.openxmlformats.org/officeDocument/2006/relationships/image" Target="media/image39.wmf"/><Relationship Id="rId102" Type="http://schemas.openxmlformats.org/officeDocument/2006/relationships/image" Target="media/image45.wmf"/><Relationship Id="rId110" Type="http://schemas.openxmlformats.org/officeDocument/2006/relationships/image" Target="media/image47.wmf"/><Relationship Id="rId115"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27.wmf"/><Relationship Id="rId82" Type="http://schemas.openxmlformats.org/officeDocument/2006/relationships/image" Target="media/image37.wmf"/><Relationship Id="rId90" Type="http://schemas.openxmlformats.org/officeDocument/2006/relationships/oleObject" Target="embeddings/oleObject43.bin"/><Relationship Id="rId95" Type="http://schemas.openxmlformats.org/officeDocument/2006/relationships/oleObject" Target="embeddings/oleObject47.bin"/><Relationship Id="rId19" Type="http://schemas.openxmlformats.org/officeDocument/2006/relationships/oleObject" Target="embeddings/oleObject8.bin"/><Relationship Id="rId14" Type="http://schemas.openxmlformats.org/officeDocument/2006/relationships/oleObject" Target="embeddings/oleObject4.bin"/><Relationship Id="rId22" Type="http://schemas.openxmlformats.org/officeDocument/2006/relationships/image" Target="media/image6.jpeg"/><Relationship Id="rId27" Type="http://schemas.openxmlformats.org/officeDocument/2006/relationships/oleObject" Target="embeddings/oleObject11.bin"/><Relationship Id="rId30" Type="http://schemas.openxmlformats.org/officeDocument/2006/relationships/image" Target="media/image11.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0.wmf"/><Relationship Id="rId56" Type="http://schemas.openxmlformats.org/officeDocument/2006/relationships/oleObject" Target="embeddings/oleObject25.bin"/><Relationship Id="rId64" Type="http://schemas.openxmlformats.org/officeDocument/2006/relationships/image" Target="media/image29.jpeg"/><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image" Target="media/image44.wmf"/><Relationship Id="rId105" Type="http://schemas.openxmlformats.org/officeDocument/2006/relationships/oleObject" Target="embeddings/oleObject53.bin"/><Relationship Id="rId113" Type="http://schemas.openxmlformats.org/officeDocument/2006/relationships/oleObject" Target="embeddings/oleObject58.bin"/><Relationship Id="rId8" Type="http://schemas.openxmlformats.org/officeDocument/2006/relationships/image" Target="media/image1.wmf"/><Relationship Id="rId51" Type="http://schemas.openxmlformats.org/officeDocument/2006/relationships/oleObject" Target="embeddings/oleObject23.bin"/><Relationship Id="rId72" Type="http://schemas.openxmlformats.org/officeDocument/2006/relationships/oleObject" Target="embeddings/oleObject32.bin"/><Relationship Id="rId80" Type="http://schemas.openxmlformats.org/officeDocument/2006/relationships/oleObject" Target="embeddings/oleObject37.bin"/><Relationship Id="rId85" Type="http://schemas.openxmlformats.org/officeDocument/2006/relationships/image" Target="media/image38.wmf"/><Relationship Id="rId93" Type="http://schemas.openxmlformats.org/officeDocument/2006/relationships/oleObject" Target="embeddings/oleObject46.bin"/><Relationship Id="rId98" Type="http://schemas.openxmlformats.org/officeDocument/2006/relationships/image" Target="media/image43.wmf"/><Relationship Id="rId3" Type="http://schemas.openxmlformats.org/officeDocument/2006/relationships/styles" Target="styles.xml"/><Relationship Id="rId12" Type="http://schemas.openxmlformats.org/officeDocument/2006/relationships/oleObject" Target="embeddings/oleObject3.bin"/><Relationship Id="rId17" Type="http://schemas.openxmlformats.org/officeDocument/2006/relationships/image" Target="media/image4.jpeg"/><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image" Target="media/image26.wmf"/><Relationship Id="rId67" Type="http://schemas.openxmlformats.org/officeDocument/2006/relationships/image" Target="media/image31.wmf"/><Relationship Id="rId103" Type="http://schemas.openxmlformats.org/officeDocument/2006/relationships/oleObject" Target="embeddings/oleObject51.bin"/><Relationship Id="rId108" Type="http://schemas.openxmlformats.org/officeDocument/2006/relationships/oleObject" Target="embeddings/oleObject56.bin"/><Relationship Id="rId116" Type="http://schemas.openxmlformats.org/officeDocument/2006/relationships/fontTable" Target="fontTable.xml"/><Relationship Id="rId20" Type="http://schemas.openxmlformats.org/officeDocument/2006/relationships/image" Target="media/image5.wmf"/><Relationship Id="rId41" Type="http://schemas.openxmlformats.org/officeDocument/2006/relationships/oleObject" Target="embeddings/oleObject18.bin"/><Relationship Id="rId54" Type="http://schemas.openxmlformats.org/officeDocument/2006/relationships/image" Target="media/image23.jpeg"/><Relationship Id="rId62" Type="http://schemas.openxmlformats.org/officeDocument/2006/relationships/oleObject" Target="embeddings/oleObject28.bin"/><Relationship Id="rId70" Type="http://schemas.openxmlformats.org/officeDocument/2006/relationships/oleObject" Target="embeddings/oleObject31.bin"/><Relationship Id="rId75" Type="http://schemas.openxmlformats.org/officeDocument/2006/relationships/image" Target="media/image35.wmf"/><Relationship Id="rId83" Type="http://schemas.openxmlformats.org/officeDocument/2006/relationships/oleObject" Target="embeddings/oleObject39.bin"/><Relationship Id="rId88" Type="http://schemas.openxmlformats.org/officeDocument/2006/relationships/oleObject" Target="embeddings/oleObject42.bin"/><Relationship Id="rId91" Type="http://schemas.openxmlformats.org/officeDocument/2006/relationships/oleObject" Target="embeddings/oleObject44.bin"/><Relationship Id="rId96" Type="http://schemas.openxmlformats.org/officeDocument/2006/relationships/image" Target="media/image42.wmf"/><Relationship Id="rId111" Type="http://schemas.openxmlformats.org/officeDocument/2006/relationships/oleObject" Target="embeddings/oleObject57.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5.bin"/><Relationship Id="rId23" Type="http://schemas.openxmlformats.org/officeDocument/2006/relationships/image" Target="media/image7.jpeg"/><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2.bin"/><Relationship Id="rId57" Type="http://schemas.openxmlformats.org/officeDocument/2006/relationships/image" Target="media/image25.wmf"/><Relationship Id="rId106" Type="http://schemas.openxmlformats.org/officeDocument/2006/relationships/oleObject" Target="embeddings/oleObject54.bin"/><Relationship Id="rId114" Type="http://schemas.openxmlformats.org/officeDocument/2006/relationships/oleObject" Target="embeddings/oleObject59.bin"/><Relationship Id="rId10" Type="http://schemas.openxmlformats.org/officeDocument/2006/relationships/image" Target="media/image2.wmf"/><Relationship Id="rId31" Type="http://schemas.openxmlformats.org/officeDocument/2006/relationships/oleObject" Target="embeddings/oleObject13.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oleObject" Target="embeddings/oleObject27.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5.bin"/><Relationship Id="rId81" Type="http://schemas.openxmlformats.org/officeDocument/2006/relationships/oleObject" Target="embeddings/oleObject38.bin"/><Relationship Id="rId86" Type="http://schemas.openxmlformats.org/officeDocument/2006/relationships/oleObject" Target="embeddings/oleObject41.bin"/><Relationship Id="rId94" Type="http://schemas.openxmlformats.org/officeDocument/2006/relationships/image" Target="media/image41.wmf"/><Relationship Id="rId99" Type="http://schemas.openxmlformats.org/officeDocument/2006/relationships/oleObject" Target="embeddings/oleObject49.bin"/><Relationship Id="rId101" Type="http://schemas.openxmlformats.org/officeDocument/2006/relationships/oleObject" Target="embeddings/oleObject50.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image" Target="media/image3.wmf"/><Relationship Id="rId18" Type="http://schemas.openxmlformats.org/officeDocument/2006/relationships/oleObject" Target="embeddings/oleObject7.bin"/><Relationship Id="rId39" Type="http://schemas.openxmlformats.org/officeDocument/2006/relationships/oleObject" Target="embeddings/oleObject17.bin"/><Relationship Id="rId109" Type="http://schemas.openxmlformats.org/officeDocument/2006/relationships/image" Target="media/image46.jpeg"/><Relationship Id="rId34" Type="http://schemas.openxmlformats.org/officeDocument/2006/relationships/image" Target="media/image13.wmf"/><Relationship Id="rId50" Type="http://schemas.openxmlformats.org/officeDocument/2006/relationships/image" Target="media/image21.wmf"/><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oleObject" Target="embeddings/oleObject48.bin"/><Relationship Id="rId104" Type="http://schemas.openxmlformats.org/officeDocument/2006/relationships/oleObject" Target="embeddings/oleObject52.bin"/><Relationship Id="rId7" Type="http://schemas.openxmlformats.org/officeDocument/2006/relationships/endnotes" Target="endnotes.xml"/><Relationship Id="rId71" Type="http://schemas.openxmlformats.org/officeDocument/2006/relationships/image" Target="media/image33.wmf"/><Relationship Id="rId92" Type="http://schemas.openxmlformats.org/officeDocument/2006/relationships/oleObject" Target="embeddings/oleObject45.bin"/><Relationship Id="rId2" Type="http://schemas.openxmlformats.org/officeDocument/2006/relationships/numbering" Target="numbering.xml"/><Relationship Id="rId29"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EE26B-001C-4C4A-BB99-952E18BF5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1859</Words>
  <Characters>10598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Hemmatifar</dc:creator>
  <cp:keywords/>
  <dc:description/>
  <cp:lastModifiedBy>Ali Hemmatifar</cp:lastModifiedBy>
  <cp:revision>11</cp:revision>
  <cp:lastPrinted>2016-05-28T01:37:00Z</cp:lastPrinted>
  <dcterms:created xsi:type="dcterms:W3CDTF">2016-08-09T02:21:00Z</dcterms:created>
  <dcterms:modified xsi:type="dcterms:W3CDTF">2016-08-16T23:18:00Z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